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4/30/01-5/10/01</w:t>
        <w:tab/>
        <w:tab/>
        <w:tab/>
        <w:t>Statement #</w:t>
        <w:tab/>
        <w:tab/>
        <w:t>45116-45630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111,112,114,115,116,407,487</w:t>
        <w:tab/>
        <w:t>Line Item #</w:t>
        <w:tab/>
        <w:tab/>
        <w:t>Multiple</w:t>
      </w:r>
    </w:p>
    <w:p>
      <w:pPr>
        <w:pStyle w:val="Normal"/>
        <w:rPr/>
      </w:pPr>
      <w:r>
        <w:rPr/>
        <w:tab/>
        <w:tab/>
        <w:tab/>
        <w:t>521,522,523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03/14/01-3/24/01</w:t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(Multiple Charge Types)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Region 1, Region 2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Region 1, Region 2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Cs/>
          <w:color w:val="000080"/>
        </w:rPr>
      </w:pPr>
      <w:r>
        <w:rPr>
          <w:b/>
          <w:i w:val="false"/>
          <w:color w:val="000080"/>
        </w:rPr>
        <w:t>$86,000,000.00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 w:val="false"/>
          <w:i w:val="false"/>
          <w:iCs/>
          <w:color w:val="000080"/>
        </w:rPr>
      </w:pPr>
      <w:r>
        <w:rPr>
          <w:b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Due to a software glitch, EPMI originally submitted incorrect meter data for trade date 3/14/01.  The correct meter data indicates that EPMI was not short and therefore, any allocations based on the original data submitted should be reversed.</w:t>
      </w:r>
    </w:p>
    <w:p>
      <w:pPr>
        <w:pStyle w:val="BodyText3"/>
        <w:rPr/>
      </w:pPr>
      <w:r>
        <w:rPr/>
      </w:r>
    </w:p>
    <w:p>
      <w:pPr>
        <w:pStyle w:val="BodyText3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Heading5"/>
        <w:ind w:hanging="0" w:start="0"/>
        <w:rPr/>
      </w:pPr>
      <w:r>
        <w:rPr/>
        <w:t>Meter Data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4"/>
    </w:pPr>
    <w:rPr>
      <w:i/>
      <w:iCs/>
      <w:color w:val="00008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2001-05-24T00:05:00Z</dcterms:created>
  <dc:creator>Harvey Hall</dc:creator>
  <dc:description/>
  <dc:language>en-CA</dc:language>
  <cp:lastModifiedBy>djohns13</cp:lastModifiedBy>
  <cp:lastPrinted>2000-08-02T14:19:00Z</cp:lastPrinted>
  <dcterms:modified xsi:type="dcterms:W3CDTF">2001-05-24T00:05:00Z</dcterms:modified>
  <cp:revision>2</cp:revision>
  <dc:subject/>
  <dc:title/>
</cp:coreProperties>
</file>