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785763421"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Keith Fullenweider and Ann Ballard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14, 2000</w:t>
            </w:r>
          </w:p>
        </w:tc>
      </w:tr>
    </w:tbl>
    <w:p>
      <w:pPr>
        <w:pStyle w:val="Body"/>
        <w:rPr>
          <w:color w:val="auto"/>
        </w:rPr>
      </w:pPr>
      <w:r>
        <w:rPr>
          <w:color w:val="auto"/>
        </w:rPr>
      </w:r>
      <w:bookmarkStart w:id="3" w:name="StartOfMemo"/>
      <w:bookmarkStart w:id="4" w:name="StartOfMemo"/>
      <w:bookmarkEnd w:id="4"/>
    </w:p>
    <w:p>
      <w:pPr>
        <w:pStyle w:val="Body"/>
        <w:rPr>
          <w:color w:val="auto"/>
        </w:rPr>
      </w:pPr>
      <w:r>
        <w:rPr>
          <w:color w:val="auto"/>
          <w:u w:val="single"/>
        </w:rPr>
        <w:t>Oregon Proceeding</w:t>
      </w:r>
    </w:p>
    <w:p>
      <w:pPr>
        <w:pStyle w:val="Body"/>
        <w:rPr>
          <w:color w:val="auto"/>
        </w:rPr>
      </w:pPr>
      <w:r>
        <w:rPr>
          <w:color w:val="auto"/>
        </w:rPr>
      </w:r>
    </w:p>
    <w:p>
      <w:pPr>
        <w:pStyle w:val="Body"/>
        <w:rPr>
          <w:color w:val="auto"/>
        </w:rPr>
      </w:pPr>
      <w:r>
        <w:rPr>
          <w:color w:val="auto"/>
        </w:rPr>
        <w:t>On Friday March 10, 2000 the OPUC held its first workshop in Sierra’s application for approval to acquire PGE.  As a general matter, the workshop went smoothly with no surprises and little dispute.  PUCN staff participated in the workshop by telephone.</w:t>
      </w:r>
    </w:p>
    <w:p>
      <w:pPr>
        <w:pStyle w:val="Body"/>
        <w:rPr>
          <w:color w:val="auto"/>
        </w:rPr>
      </w:pPr>
      <w:r>
        <w:rPr>
          <w:color w:val="auto"/>
        </w:rPr>
      </w:r>
    </w:p>
    <w:p>
      <w:pPr>
        <w:pStyle w:val="Body"/>
        <w:rPr>
          <w:color w:val="auto"/>
        </w:rPr>
      </w:pPr>
      <w:r>
        <w:rPr>
          <w:color w:val="auto"/>
        </w:rPr>
        <w:t xml:space="preserve">Discussion at the workshop focused on:  (1) the financial condition of Sierra and the impact of Sierra’s financing plan for the acquisition of PGE on Sierra’s credit rating (and PGE’s credit rating); (2) Sierra’s proposal to allocate and assign goodwill if merger savings are sufficient; and (3) affiliate rules and codes of conduct.  </w:t>
      </w:r>
    </w:p>
    <w:p>
      <w:pPr>
        <w:pStyle w:val="Body"/>
        <w:rPr>
          <w:color w:val="auto"/>
        </w:rPr>
      </w:pPr>
      <w:r>
        <w:rPr>
          <w:color w:val="auto"/>
        </w:rPr>
      </w:r>
    </w:p>
    <w:p>
      <w:pPr>
        <w:pStyle w:val="Body"/>
        <w:rPr>
          <w:color w:val="auto"/>
        </w:rPr>
      </w:pPr>
      <w:r>
        <w:rPr>
          <w:color w:val="auto"/>
        </w:rPr>
        <w:t xml:space="preserve">The parties also discussed Sierra’s request for a “super protective” order.   ICNU and CUB indicated that they would object to the super protective order.  They argued that they are customers (not competitors) and have a right to see data such as board minutes.   Note that while Sierra filed the motion for the super protective order, we have sought the limited disclosure allowed by super protective status for the Seller’s Disclosure Schedule.   Tonkon Torp is attempting to resolve CUB and ICNU’s discovery concerns to avoid an early fight over discovery.  </w:t>
      </w:r>
    </w:p>
    <w:p>
      <w:pPr>
        <w:pStyle w:val="Body"/>
        <w:rPr>
          <w:color w:val="auto"/>
        </w:rPr>
      </w:pPr>
      <w:r>
        <w:rPr>
          <w:color w:val="auto"/>
        </w:rPr>
      </w:r>
    </w:p>
    <w:p>
      <w:pPr>
        <w:pStyle w:val="Body"/>
        <w:rPr>
          <w:color w:val="auto"/>
        </w:rPr>
      </w:pPr>
      <w:r>
        <w:rPr>
          <w:color w:val="auto"/>
        </w:rPr>
        <w:t>The parties that were active during the workshop are identified in the following table.</w:t>
      </w:r>
    </w:p>
    <w:p>
      <w:pPr>
        <w:pStyle w:val="Body"/>
        <w:rPr>
          <w:color w:val="auto"/>
        </w:rPr>
      </w:pPr>
      <w:r>
        <w:rPr>
          <w:color w:val="auto"/>
        </w:rPr>
      </w:r>
    </w:p>
    <w:tbl>
      <w:tblPr>
        <w:tblW w:w="8820" w:type="dxa"/>
        <w:jc w:val="start"/>
        <w:tblInd w:w="1008" w:type="dxa"/>
        <w:tblLayout w:type="fixed"/>
        <w:tblCellMar>
          <w:top w:w="0" w:type="dxa"/>
          <w:start w:w="108" w:type="dxa"/>
          <w:bottom w:w="0" w:type="dxa"/>
          <w:end w:w="108" w:type="dxa"/>
        </w:tblCellMar>
      </w:tblPr>
      <w:tblGrid>
        <w:gridCol w:w="2250"/>
        <w:gridCol w:w="6570"/>
      </w:tblGrid>
      <w:tr>
        <w:trPr>
          <w:tblHeader w:val="true"/>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Party</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Issues Raised</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ICNU</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Will PGE divest their generation?   (Sierra replied they may, but there wasn’t  firm commitment one way or the other to divestiture)</w:t>
            </w:r>
          </w:p>
          <w:p>
            <w:pPr>
              <w:pStyle w:val="Body"/>
              <w:ind w:start="0" w:end="0"/>
              <w:rPr>
                <w:color w:val="auto"/>
              </w:rPr>
            </w:pPr>
            <w:r>
              <w:rPr>
                <w:color w:val="auto"/>
              </w:rPr>
            </w:r>
          </w:p>
          <w:p>
            <w:pPr>
              <w:pStyle w:val="Body"/>
              <w:ind w:start="0" w:end="0"/>
              <w:rPr>
                <w:color w:val="auto"/>
              </w:rPr>
            </w:pPr>
            <w:r>
              <w:rPr>
                <w:color w:val="auto"/>
              </w:rPr>
              <w:t>Whether inexpensive PGE hydro will flow over the interconnection achieved for the SEC filing to Nevada (to serve Sierra/Nevada Power’s PLR obligation)?</w:t>
            </w:r>
          </w:p>
          <w:p>
            <w:pPr>
              <w:pStyle w:val="Body"/>
              <w:ind w:start="0" w:end="0"/>
              <w:rPr>
                <w:color w:val="auto"/>
              </w:rPr>
            </w:pPr>
            <w:r>
              <w:rPr>
                <w:color w:val="auto"/>
              </w:rPr>
            </w:r>
          </w:p>
          <w:p>
            <w:pPr>
              <w:pStyle w:val="Body"/>
              <w:ind w:start="0" w:end="0"/>
              <w:rPr>
                <w:color w:val="auto"/>
              </w:rPr>
            </w:pPr>
            <w:r>
              <w:rPr>
                <w:color w:val="auto"/>
              </w:rPr>
              <w:t>How will goodwill and savings be allocated between Nevada and Oregon?</w:t>
            </w:r>
          </w:p>
          <w:p>
            <w:pPr>
              <w:pStyle w:val="Body"/>
              <w:ind w:start="0" w:end="0"/>
              <w:rPr>
                <w:color w:val="auto"/>
              </w:rPr>
            </w:pPr>
            <w:r>
              <w:rPr>
                <w:color w:val="auto"/>
              </w:rPr>
            </w:r>
          </w:p>
          <w:p>
            <w:pPr>
              <w:pStyle w:val="Body"/>
              <w:ind w:start="0" w:end="0"/>
              <w:rPr>
                <w:color w:val="auto"/>
              </w:rPr>
            </w:pPr>
            <w:r>
              <w:rPr>
                <w:color w:val="auto"/>
              </w:rPr>
              <w:t>Will goodwill and savings from the Sierra/Nevada merger be allocated to Oregon?</w:t>
            </w:r>
          </w:p>
          <w:p>
            <w:pPr>
              <w:pStyle w:val="Body"/>
              <w:ind w:start="0" w:end="0"/>
              <w:rPr>
                <w:color w:val="auto"/>
              </w:rPr>
            </w:pPr>
            <w:r>
              <w:rPr>
                <w:color w:val="auto"/>
              </w:rPr>
            </w:r>
          </w:p>
          <w:p>
            <w:pPr>
              <w:pStyle w:val="Body"/>
              <w:ind w:start="0" w:end="0"/>
              <w:rPr>
                <w:color w:val="auto"/>
              </w:rPr>
            </w:pPr>
            <w:r>
              <w:rPr>
                <w:color w:val="auto"/>
              </w:rPr>
              <w:t>How will Sierra measure savings in the outyears of the 40 year amortization of goodwill?</w:t>
            </w:r>
          </w:p>
          <w:p>
            <w:pPr>
              <w:pStyle w:val="Body"/>
              <w:ind w:start="0" w:end="0"/>
              <w:rPr>
                <w:color w:val="auto"/>
              </w:rPr>
            </w:pPr>
            <w:r>
              <w:rPr>
                <w:color w:val="auto"/>
              </w:rPr>
            </w:r>
          </w:p>
          <w:p>
            <w:pPr>
              <w:pStyle w:val="Body"/>
              <w:ind w:start="0" w:end="0"/>
              <w:rPr>
                <w:color w:val="auto"/>
              </w:rPr>
            </w:pPr>
            <w:r>
              <w:rPr>
                <w:color w:val="auto"/>
              </w:rPr>
              <w:t>Will Sierra use the proceeds from the sale of their generation to build transmission; are there any load pocket issues affecting PGE (as there are with both Sierra and Nevada Power)?</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Navigant Consulting (for an unidentified client)</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Similar issues to ICNU</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PUCN Staff</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Allocation and assignment of goodwill to Nevada?</w:t>
            </w:r>
          </w:p>
          <w:p>
            <w:pPr>
              <w:pStyle w:val="Body"/>
              <w:ind w:start="0" w:end="0"/>
              <w:rPr>
                <w:color w:val="auto"/>
              </w:rPr>
            </w:pPr>
            <w:r>
              <w:rPr>
                <w:color w:val="auto"/>
              </w:rPr>
            </w:r>
          </w:p>
          <w:p>
            <w:pPr>
              <w:pStyle w:val="Body"/>
              <w:ind w:start="0" w:end="0"/>
              <w:rPr>
                <w:color w:val="auto"/>
              </w:rPr>
            </w:pPr>
            <w:r>
              <w:rPr>
                <w:color w:val="auto"/>
              </w:rPr>
              <w:t>Where will the allocation and assignment of goodwill and savings for Nevada be reviewed by the PUCN?  (Sierra said they were at risk for the recovery mechanism in Nevada and also had the burden of proof to establish savings.)</w:t>
            </w:r>
          </w:p>
          <w:p>
            <w:pPr>
              <w:pStyle w:val="Body"/>
              <w:ind w:start="0" w:end="0"/>
              <w:rPr>
                <w:color w:val="auto"/>
              </w:rPr>
            </w:pPr>
            <w:r>
              <w:rPr>
                <w:color w:val="auto"/>
              </w:rPr>
            </w:r>
          </w:p>
          <w:p>
            <w:pPr>
              <w:pStyle w:val="Body"/>
              <w:ind w:start="0" w:end="0"/>
              <w:rPr>
                <w:color w:val="auto"/>
              </w:rPr>
            </w:pPr>
            <w:r>
              <w:rPr>
                <w:color w:val="auto"/>
              </w:rPr>
              <w:t>Will any of the merger savings from the Sierra/Nevada merger be allocated to Oregon?  (No, the earlier merger will be separate).</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CUB</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What is the financial condition of the company—given the stock price?  (Sierra said they had a strong balance sheet, had already taken steps to reduce the “hit” from the rejected deferred energy case, and were financially  able to close the deal for PGE).</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OPUC Staff</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Goodwill allocation and assignment?</w:t>
            </w:r>
          </w:p>
          <w:p>
            <w:pPr>
              <w:pStyle w:val="Body"/>
              <w:ind w:start="0" w:end="0"/>
              <w:rPr>
                <w:color w:val="auto"/>
              </w:rPr>
            </w:pPr>
            <w:r>
              <w:rPr>
                <w:color w:val="auto"/>
              </w:rPr>
            </w:r>
          </w:p>
          <w:p>
            <w:pPr>
              <w:pStyle w:val="Body"/>
              <w:ind w:start="0" w:end="0"/>
              <w:rPr>
                <w:color w:val="auto"/>
              </w:rPr>
            </w:pPr>
            <w:r>
              <w:rPr>
                <w:color w:val="auto"/>
              </w:rPr>
              <w:t>What methodology will the utilities use to quantify savings?</w:t>
            </w:r>
          </w:p>
          <w:p>
            <w:pPr>
              <w:pStyle w:val="Body"/>
              <w:ind w:start="0" w:end="0"/>
              <w:rPr>
                <w:color w:val="auto"/>
              </w:rPr>
            </w:pPr>
            <w:r>
              <w:rPr>
                <w:color w:val="auto"/>
              </w:rPr>
            </w:r>
          </w:p>
          <w:p>
            <w:pPr>
              <w:pStyle w:val="Body"/>
              <w:ind w:start="0" w:end="0"/>
              <w:rPr>
                <w:color w:val="auto"/>
              </w:rPr>
            </w:pPr>
            <w:r>
              <w:rPr>
                <w:color w:val="auto"/>
              </w:rPr>
              <w:t xml:space="preserve">How will the financing plan for the acquisition affect the credit rating of Sierra Resources?  Of PGE?  </w:t>
            </w:r>
          </w:p>
          <w:p>
            <w:pPr>
              <w:pStyle w:val="Body"/>
              <w:ind w:start="0" w:end="0"/>
              <w:rPr>
                <w:color w:val="auto"/>
              </w:rPr>
            </w:pPr>
            <w:r>
              <w:rPr>
                <w:color w:val="auto"/>
              </w:rPr>
            </w:r>
          </w:p>
          <w:p>
            <w:pPr>
              <w:pStyle w:val="Body"/>
              <w:ind w:start="0" w:end="0"/>
              <w:rPr>
                <w:color w:val="auto"/>
              </w:rPr>
            </w:pPr>
            <w:r>
              <w:rPr>
                <w:color w:val="auto"/>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Larry Tuttle</w:t>
            </w:r>
          </w:p>
        </w:tc>
        <w:tc>
          <w:tcPr>
            <w:tcW w:w="657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Will Sierra use a zero value for PGE’s assets in the goodwill determination?   Note that Tuttle has an initiative before the voters to declare that PGE’s assets have no value unless PGE signs a franchise agreement with the City of Portland.</w:t>
            </w:r>
          </w:p>
        </w:tc>
      </w:tr>
    </w:tbl>
    <w:p>
      <w:pPr>
        <w:pStyle w:val="Body"/>
        <w:rPr>
          <w:color w:val="auto"/>
        </w:rPr>
      </w:pPr>
      <w:r>
        <w:rPr>
          <w:color w:val="auto"/>
        </w:rPr>
      </w:r>
    </w:p>
    <w:p>
      <w:pPr>
        <w:pStyle w:val="Body"/>
        <w:rPr>
          <w:color w:val="auto"/>
        </w:rPr>
      </w:pPr>
      <w:r>
        <w:rPr>
          <w:color w:val="auto"/>
        </w:rPr>
      </w:r>
    </w:p>
    <w:p>
      <w:pPr>
        <w:pStyle w:val="Body"/>
        <w:ind w:start="0" w:end="0"/>
        <w:rPr>
          <w:color w:val="auto"/>
        </w:rPr>
      </w:pPr>
      <w:r>
        <w:rPr>
          <w:color w:val="auto"/>
        </w:rPr>
        <w:t>PacifiCorp, Oregon Energy Company and Idaho Power Company were silent during the workshop.   The next step in the OPUC process is the filing of Staff and Intervenor testimony in late April.</w:t>
      </w:r>
    </w:p>
    <w:p>
      <w:pPr>
        <w:pStyle w:val="Body"/>
        <w:rPr>
          <w:color w:val="auto"/>
        </w:rPr>
      </w:pPr>
      <w:r>
        <w:rPr>
          <w:color w:val="auto"/>
        </w:rPr>
      </w:r>
    </w:p>
    <w:p>
      <w:pPr>
        <w:pStyle w:val="Body"/>
        <w:ind w:start="0" w:end="0"/>
        <w:rPr>
          <w:color w:val="auto"/>
        </w:rPr>
      </w:pPr>
      <w:r>
        <w:rPr>
          <w:color w:val="auto"/>
        </w:rPr>
        <w:t>Following the workshop, we had positive discussions with both CUB and OPUC Staff.  Both parties seem interested in resolving the goodwill issue in a way that provides Sierra with the value of their current proposal without setting a precedent for goodwill treatment.</w:t>
      </w:r>
    </w:p>
    <w:p>
      <w:pPr>
        <w:pStyle w:val="Body"/>
        <w:rPr>
          <w:color w:val="auto"/>
        </w:rPr>
      </w:pPr>
      <w:r>
        <w:rPr>
          <w:color w:val="auto"/>
        </w:rPr>
      </w:r>
    </w:p>
    <w:p>
      <w:pPr>
        <w:pStyle w:val="Body"/>
        <w:ind w:start="0" w:end="0"/>
        <w:rPr>
          <w:color w:val="auto"/>
        </w:rPr>
      </w:pPr>
      <w:r>
        <w:rPr>
          <w:color w:val="auto"/>
          <w:u w:val="single"/>
        </w:rPr>
        <w:t>Nevada</w:t>
      </w:r>
    </w:p>
    <w:p>
      <w:pPr>
        <w:pStyle w:val="Body"/>
        <w:ind w:start="0" w:end="0"/>
        <w:rPr>
          <w:color w:val="auto"/>
        </w:rPr>
      </w:pPr>
      <w:r>
        <w:rPr>
          <w:color w:val="auto"/>
        </w:rPr>
      </w:r>
    </w:p>
    <w:p>
      <w:pPr>
        <w:pStyle w:val="Body"/>
        <w:ind w:start="0" w:end="0"/>
        <w:rPr>
          <w:color w:val="auto"/>
        </w:rPr>
      </w:pPr>
      <w:r>
        <w:rPr>
          <w:color w:val="auto"/>
        </w:rPr>
        <w:t>No further news from Nevada.  As indicated above, Staff is monitoring the various filings for approval of the acquisition.  We can expect further inquiries from Staff.  The goal remains to keep them informed without forcing them to intervene.  Our local counsel remains concerned that the PUCN may revisit issues associated with the acquisition of PGE.  In this regard, he notes that each sale of a Sierra or Nevada Power generating plant must be expressly approved by the PUCN.</w:t>
      </w:r>
    </w:p>
    <w:p>
      <w:pPr>
        <w:pStyle w:val="Body"/>
        <w:ind w:start="0" w:end="0"/>
        <w:rPr>
          <w:color w:val="auto"/>
        </w:rPr>
      </w:pPr>
      <w:r>
        <w:rPr>
          <w:color w:val="auto"/>
        </w:rPr>
      </w:r>
    </w:p>
    <w:p>
      <w:pPr>
        <w:pStyle w:val="Body"/>
        <w:jc w:val="center"/>
        <w:rPr>
          <w:color w:val="auto"/>
        </w:rPr>
      </w:pPr>
      <w:r>
        <w:rPr>
          <w:color w:val="auto"/>
        </w:rPr>
        <w:t>^^^</w:t>
      </w:r>
    </w:p>
    <w:p>
      <w:pPr>
        <w:pStyle w:val="Body"/>
        <w:rPr>
          <w:color w:val="auto"/>
        </w:rPr>
      </w:pPr>
      <w:r>
        <w:rPr>
          <w:color w:val="auto"/>
        </w:rPr>
      </w:r>
    </w:p>
    <w:p>
      <w:pPr>
        <w:pStyle w:val="Body"/>
        <w:rPr>
          <w:color w:val="auto"/>
        </w:rPr>
      </w:pPr>
      <w:r>
        <w:rPr>
          <w:color w:val="auto"/>
        </w:rPr>
        <w:t xml:space="preserve">Please contact me if you have any questions concerning this matter.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2000-03-14T22:54:00Z</dcterms:created>
  <dc:creator>Jeff Ford</dc:creator>
  <dc:description/>
  <dc:language>en-CA</dc:language>
  <cp:lastModifiedBy>pkaufma</cp:lastModifiedBy>
  <cp:lastPrinted>2000-02-02T06:48:00Z</cp:lastPrinted>
  <dcterms:modified xsi:type="dcterms:W3CDTF">2000-03-14T22:56:00Z</dcterms:modified>
  <cp:revision>3</cp:revision>
  <dc:subject>Comments on Load Forecasting/Data Requirements Proposed Regulations</dc:subject>
  <dc:title>Eron Capital &amp; Trade Resources Memo</dc:title>
</cp:coreProperties>
</file>