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2"/>
          <w:szCs w:val="17"/>
        </w:rPr>
      </w:pPr>
      <w:r>
        <w:rPr>
          <w:b/>
          <w:sz w:val="22"/>
          <w:szCs w:val="17"/>
        </w:rPr>
      </w:r>
    </w:p>
    <w:p>
      <w:pPr>
        <w:pStyle w:val="Normal"/>
        <w:jc w:val="end"/>
        <w:rPr>
          <w:b/>
          <w:sz w:val="22"/>
          <w:szCs w:val="17"/>
        </w:rPr>
      </w:pPr>
      <w:r>
        <w:rPr>
          <w:b/>
          <w:sz w:val="22"/>
          <w:szCs w:val="17"/>
        </w:rPr>
      </w:r>
    </w:p>
    <w:p>
      <w:pPr>
        <w:pStyle w:val="Normal"/>
        <w:jc w:val="end"/>
        <w:rPr>
          <w:b/>
          <w:sz w:val="22"/>
          <w:szCs w:val="17"/>
        </w:rPr>
      </w:pPr>
      <w:r>
        <w:rPr>
          <w:b/>
          <w:sz w:val="22"/>
          <w:szCs w:val="17"/>
        </w:rPr>
      </w:r>
    </w:p>
    <w:p>
      <w:pPr>
        <w:pStyle w:val="Normal"/>
        <w:jc w:val="end"/>
        <w:rPr>
          <w:b/>
          <w:sz w:val="22"/>
          <w:szCs w:val="17"/>
        </w:rPr>
      </w:pPr>
      <w:r>
        <w:rPr>
          <w:b/>
          <w:sz w:val="22"/>
          <w:szCs w:val="17"/>
        </w:rPr>
      </w:r>
    </w:p>
    <w:p>
      <w:pPr>
        <w:pStyle w:val="Normal"/>
        <w:jc w:val="center"/>
        <w:rPr>
          <w:sz w:val="22"/>
          <w:szCs w:val="17"/>
        </w:rPr>
      </w:pPr>
      <w:r>
        <w:rPr>
          <w:sz w:val="22"/>
          <w:szCs w:val="17"/>
        </w:rPr>
        <w:t>[ENA LETTERHEAD]</w:t>
      </w:r>
    </w:p>
    <w:p>
      <w:pPr>
        <w:pStyle w:val="Normal"/>
        <w:jc w:val="center"/>
        <w:rPr>
          <w:sz w:val="22"/>
          <w:szCs w:val="17"/>
        </w:rPr>
      </w:pPr>
      <w:r>
        <w:rPr>
          <w:sz w:val="22"/>
          <w:szCs w:val="17"/>
        </w:rPr>
      </w:r>
    </w:p>
    <w:p>
      <w:pPr>
        <w:pStyle w:val="Normal"/>
        <w:jc w:val="center"/>
        <w:rPr>
          <w:sz w:val="22"/>
          <w:szCs w:val="17"/>
        </w:rPr>
      </w:pPr>
      <w:r>
        <w:rPr>
          <w:sz w:val="22"/>
          <w:szCs w:val="17"/>
        </w:rPr>
      </w:r>
    </w:p>
    <w:p>
      <w:pPr>
        <w:pStyle w:val="Normal"/>
        <w:rPr>
          <w:sz w:val="22"/>
          <w:szCs w:val="17"/>
        </w:rPr>
      </w:pPr>
      <w:r>
        <w:rPr>
          <w:sz w:val="22"/>
          <w:szCs w:val="17"/>
        </w:rPr>
        <w:t>_____________ ___, 2001</w:t>
      </w:r>
    </w:p>
    <w:p>
      <w:pPr>
        <w:pStyle w:val="Index1"/>
        <w:rPr>
          <w:sz w:val="22"/>
          <w:szCs w:val="17"/>
        </w:rPr>
      </w:pPr>
      <w:r>
        <w:rPr>
          <w:sz w:val="22"/>
          <w:szCs w:val="17"/>
        </w:rPr>
      </w:r>
    </w:p>
    <w:p>
      <w:pPr>
        <w:pStyle w:val="Normal"/>
        <w:rPr>
          <w:sz w:val="22"/>
          <w:szCs w:val="17"/>
        </w:rPr>
      </w:pPr>
      <w:r>
        <w:rPr>
          <w:sz w:val="22"/>
          <w:szCs w:val="17"/>
        </w:rPr>
        <w:t>Credit Suisse First Boston, London Branch</w:t>
      </w:r>
    </w:p>
    <w:p>
      <w:pPr>
        <w:pStyle w:val="Normal"/>
        <w:rPr>
          <w:sz w:val="22"/>
          <w:szCs w:val="17"/>
        </w:rPr>
      </w:pPr>
      <w:r>
        <w:rPr>
          <w:sz w:val="22"/>
          <w:szCs w:val="17"/>
        </w:rPr>
        <w:t>1 Cabot Square</w:t>
      </w:r>
    </w:p>
    <w:p>
      <w:pPr>
        <w:pStyle w:val="Normal"/>
        <w:rPr>
          <w:sz w:val="22"/>
          <w:szCs w:val="17"/>
        </w:rPr>
      </w:pPr>
      <w:r>
        <w:rPr>
          <w:sz w:val="22"/>
          <w:szCs w:val="17"/>
        </w:rPr>
        <w:t>London  E14 4QJ</w:t>
      </w:r>
    </w:p>
    <w:p>
      <w:pPr>
        <w:pStyle w:val="Normal"/>
        <w:rPr>
          <w:sz w:val="22"/>
          <w:szCs w:val="17"/>
        </w:rPr>
      </w:pPr>
      <w:r>
        <w:rPr>
          <w:sz w:val="22"/>
          <w:szCs w:val="17"/>
        </w:rPr>
        <w:t>England</w:t>
      </w:r>
    </w:p>
    <w:p>
      <w:pPr>
        <w:pStyle w:val="Normal"/>
        <w:rPr>
          <w:sz w:val="22"/>
          <w:szCs w:val="17"/>
        </w:rPr>
      </w:pPr>
      <w:r>
        <w:rPr>
          <w:sz w:val="22"/>
          <w:szCs w:val="17"/>
        </w:rPr>
        <w:t>Attention:  ___________________________</w:t>
      </w:r>
    </w:p>
    <w:p>
      <w:pPr>
        <w:pStyle w:val="Normal"/>
        <w:rPr>
          <w:sz w:val="22"/>
          <w:szCs w:val="17"/>
        </w:rPr>
      </w:pPr>
      <w:r>
        <w:rPr>
          <w:sz w:val="22"/>
          <w:szCs w:val="17"/>
        </w:rPr>
      </w:r>
    </w:p>
    <w:p>
      <w:pPr>
        <w:pStyle w:val="Normal"/>
        <w:rPr>
          <w:sz w:val="22"/>
          <w:szCs w:val="17"/>
        </w:rPr>
      </w:pPr>
      <w:r>
        <w:rPr>
          <w:sz w:val="22"/>
          <w:szCs w:val="17"/>
        </w:rPr>
        <w:t>Fax No.:  ____________________</w:t>
      </w:r>
    </w:p>
    <w:p>
      <w:pPr>
        <w:pStyle w:val="Normal"/>
        <w:rPr>
          <w:sz w:val="22"/>
          <w:szCs w:val="17"/>
        </w:rPr>
      </w:pPr>
      <w:r>
        <w:rPr>
          <w:sz w:val="22"/>
          <w:szCs w:val="17"/>
        </w:rPr>
        <w:t>Telephone No.:  _____________________</w:t>
      </w:r>
    </w:p>
    <w:p>
      <w:pPr>
        <w:pStyle w:val="Index1"/>
        <w:rPr>
          <w:sz w:val="22"/>
          <w:szCs w:val="17"/>
        </w:rPr>
      </w:pPr>
      <w:r>
        <w:rPr>
          <w:sz w:val="22"/>
          <w:szCs w:val="17"/>
        </w:rPr>
      </w:r>
    </w:p>
    <w:p>
      <w:pPr>
        <w:pStyle w:val="Normal"/>
        <w:rPr>
          <w:sz w:val="22"/>
          <w:szCs w:val="17"/>
        </w:rPr>
      </w:pPr>
      <w:r>
        <w:rPr>
          <w:sz w:val="22"/>
          <w:szCs w:val="17"/>
        </w:rPr>
        <w:t>Re:</w:t>
        <w:tab/>
        <w:t>TRANSACTION Contract No. _________</w:t>
      </w:r>
    </w:p>
    <w:p>
      <w:pPr>
        <w:pStyle w:val="Normal"/>
        <w:rPr>
          <w:sz w:val="22"/>
          <w:szCs w:val="17"/>
        </w:rPr>
      </w:pPr>
      <w:r>
        <w:rPr>
          <w:sz w:val="22"/>
          <w:szCs w:val="17"/>
        </w:rPr>
      </w:r>
    </w:p>
    <w:p>
      <w:pPr>
        <w:pStyle w:val="Normal"/>
        <w:rPr>
          <w:sz w:val="22"/>
          <w:szCs w:val="17"/>
        </w:rPr>
      </w:pPr>
      <w:r>
        <w:rPr>
          <w:sz w:val="22"/>
          <w:szCs w:val="17"/>
        </w:rPr>
        <w:t>Dear Sirs:</w:t>
      </w:r>
    </w:p>
    <w:p>
      <w:pPr>
        <w:pStyle w:val="Normal"/>
        <w:rPr>
          <w:sz w:val="22"/>
          <w:szCs w:val="17"/>
        </w:rPr>
      </w:pPr>
      <w:r>
        <w:rPr>
          <w:sz w:val="22"/>
          <w:szCs w:val="17"/>
        </w:rPr>
      </w:r>
    </w:p>
    <w:p>
      <w:pPr>
        <w:pStyle w:val="Normal"/>
        <w:jc w:val="both"/>
        <w:rPr>
          <w:sz w:val="22"/>
          <w:szCs w:val="17"/>
        </w:rPr>
      </w:pPr>
      <w:r>
        <w:rPr>
          <w:sz w:val="22"/>
          <w:szCs w:val="17"/>
        </w:rPr>
        <w:t>The purpose of this document is to confirm the terms and conditions of the transaction entered into between Enron North America Corp. (“ENA”) and Credit Suisse First Boston, London Branch ("Counterparty") on ____________,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2001.</w:t>
      </w:r>
    </w:p>
    <w:p>
      <w:pPr>
        <w:pStyle w:val="Normal"/>
        <w:jc w:val="both"/>
        <w:rPr>
          <w:sz w:val="22"/>
          <w:szCs w:val="17"/>
        </w:rPr>
      </w:pPr>
      <w:r>
        <w:rPr>
          <w:sz w:val="22"/>
          <w:szCs w:val="17"/>
        </w:rPr>
      </w:r>
    </w:p>
    <w:p>
      <w:pPr>
        <w:pStyle w:val="Normal"/>
        <w:jc w:val="both"/>
        <w:rPr>
          <w:sz w:val="22"/>
          <w:szCs w:val="17"/>
        </w:rPr>
      </w:pPr>
      <w:r>
        <w:rPr>
          <w:sz w:val="22"/>
          <w:szCs w:val="17"/>
        </w:rPr>
        <w:t>1.</w:t>
        <w:tab/>
        <w:t>The definitions and provisions contained in the 1998 FX and Currency Option Definitions, as such definitions may be amended, supplemented, replaced or modified from time to time (the "Definitions"), as published by the International Swaps &amp; Derivatives Association, Inc. ("ISDA"), the Emerging Markets Traders Association and The Foreign Exchange Committee are incorporated into this Confirmation.  In the event of any inconsistency between the Definitions and this Confirmation, this Confirmation will prevail.</w:t>
      </w:r>
    </w:p>
    <w:p>
      <w:pPr>
        <w:pStyle w:val="Normal"/>
        <w:jc w:val="both"/>
        <w:rPr>
          <w:sz w:val="22"/>
          <w:szCs w:val="17"/>
        </w:rPr>
      </w:pPr>
      <w:r>
        <w:rPr>
          <w:sz w:val="22"/>
          <w:szCs w:val="17"/>
        </w:rPr>
      </w:r>
    </w:p>
    <w:p>
      <w:pPr>
        <w:pStyle w:val="Normal"/>
        <w:jc w:val="both"/>
        <w:rPr/>
      </w:pPr>
      <w:r>
        <w:rPr>
          <w:sz w:val="22"/>
          <w:szCs w:val="17"/>
        </w:rPr>
        <w:t>2.</w:t>
        <w:tab/>
      </w:r>
      <w:r>
        <w:rPr>
          <w:b/>
          <w:sz w:val="22"/>
          <w:szCs w:val="17"/>
          <w:u w:val="single"/>
        </w:rPr>
        <w:t>Terms of Transaction</w:t>
      </w:r>
      <w:r>
        <w:rPr>
          <w:b/>
          <w:sz w:val="22"/>
          <w:szCs w:val="17"/>
        </w:rPr>
        <w:t xml:space="preserve">.  </w:t>
      </w:r>
      <w:r>
        <w:rPr>
          <w:sz w:val="22"/>
          <w:szCs w:val="17"/>
        </w:rPr>
        <w:t>The terms of the particular Transaction to which this Confirmation relates are as follows:</w:t>
      </w:r>
    </w:p>
    <w:p>
      <w:pPr>
        <w:pStyle w:val="Normal"/>
        <w:jc w:val="both"/>
        <w:rPr>
          <w:sz w:val="22"/>
          <w:szCs w:val="17"/>
        </w:rPr>
      </w:pPr>
      <w:r>
        <w:rPr>
          <w:sz w:val="22"/>
          <w:szCs w:val="17"/>
        </w:rPr>
      </w:r>
    </w:p>
    <w:p>
      <w:pPr>
        <w:pStyle w:val="Normal"/>
        <w:jc w:val="both"/>
        <w:rPr>
          <w:sz w:val="22"/>
          <w:szCs w:val="17"/>
        </w:rPr>
      </w:pPr>
      <w:r>
        <w:rPr>
          <w:sz w:val="22"/>
          <w:szCs w:val="17"/>
        </w:rPr>
        <w:t>Terms to be supplied by ENA Confirmation Desk</w:t>
      </w:r>
    </w:p>
    <w:p>
      <w:pPr>
        <w:pStyle w:val="Normal"/>
        <w:rPr>
          <w:sz w:val="22"/>
          <w:szCs w:val="17"/>
        </w:rPr>
      </w:pPr>
      <w:r>
        <w:rPr>
          <w:sz w:val="22"/>
          <w:szCs w:val="17"/>
        </w:rPr>
      </w:r>
    </w:p>
    <w:p>
      <w:pPr>
        <w:pStyle w:val="Normal"/>
        <w:rPr>
          <w:sz w:val="22"/>
          <w:szCs w:val="17"/>
        </w:rPr>
      </w:pPr>
      <w:r>
        <w:rPr>
          <w:sz w:val="22"/>
          <w:szCs w:val="17"/>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2"/>
                <w:szCs w:val="17"/>
              </w:rPr>
            </w:pPr>
            <w:r>
              <w:rPr>
                <w:sz w:val="22"/>
                <w:szCs w:val="17"/>
              </w:rPr>
            </w:r>
          </w:p>
          <w:p>
            <w:pPr>
              <w:pStyle w:val="Normal"/>
              <w:rPr>
                <w:sz w:val="22"/>
                <w:szCs w:val="17"/>
              </w:rPr>
            </w:pPr>
            <w:r>
              <w:rPr>
                <w:sz w:val="22"/>
                <w:szCs w:val="17"/>
              </w:rPr>
              <w:t xml:space="preserve">3.            </w:t>
            </w:r>
            <w:r>
              <w:rPr>
                <w:b/>
                <w:sz w:val="22"/>
                <w:szCs w:val="17"/>
                <w:u w:val="single"/>
              </w:rPr>
              <w:t>Account Details.</w:t>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snapToGrid w:val="false"/>
              <w:rPr>
                <w:sz w:val="22"/>
                <w:szCs w:val="17"/>
              </w:rPr>
            </w:pPr>
            <w:r>
              <w:rPr>
                <w:sz w:val="22"/>
                <w:szCs w:val="17"/>
              </w:rPr>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rPr>
                <w:sz w:val="22"/>
                <w:szCs w:val="17"/>
              </w:rPr>
            </w:pPr>
            <w:r>
              <w:rPr>
                <w:sz w:val="22"/>
                <w:szCs w:val="17"/>
              </w:rPr>
              <w:tab/>
            </w:r>
            <w:r>
              <w:rPr>
                <w:sz w:val="22"/>
                <w:szCs w:val="17"/>
                <w:u w:val="single"/>
              </w:rPr>
              <w:t>Payments to ENA:</w:t>
            </w:r>
          </w:p>
        </w:tc>
        <w:tc>
          <w:tcPr>
            <w:tcW w:w="4428" w:type="dxa"/>
            <w:tcBorders/>
          </w:tcPr>
          <w:p>
            <w:pPr>
              <w:pStyle w:val="Normal"/>
              <w:snapToGrid w:val="false"/>
              <w:rPr>
                <w:sz w:val="22"/>
                <w:szCs w:val="17"/>
              </w:rPr>
            </w:pPr>
            <w:r>
              <w:rPr>
                <w:sz w:val="22"/>
                <w:szCs w:val="17"/>
              </w:rPr>
            </w:r>
          </w:p>
        </w:tc>
      </w:tr>
      <w:tr>
        <w:trPr/>
        <w:tc>
          <w:tcPr>
            <w:tcW w:w="4428" w:type="dxa"/>
            <w:tcBorders/>
          </w:tcPr>
          <w:p>
            <w:pPr>
              <w:pStyle w:val="Normal"/>
              <w:snapToGrid w:val="false"/>
              <w:rPr>
                <w:sz w:val="22"/>
                <w:szCs w:val="17"/>
              </w:rPr>
            </w:pPr>
            <w:r>
              <w:rPr>
                <w:sz w:val="22"/>
                <w:szCs w:val="17"/>
              </w:rPr>
            </w:r>
          </w:p>
        </w:tc>
        <w:tc>
          <w:tcPr>
            <w:tcW w:w="4428" w:type="dxa"/>
            <w:tcBorders/>
          </w:tcPr>
          <w:p>
            <w:pPr>
              <w:pStyle w:val="Normal"/>
              <w:snapToGrid w:val="false"/>
              <w:rPr>
                <w:sz w:val="22"/>
                <w:szCs w:val="17"/>
              </w:rPr>
            </w:pPr>
            <w:r>
              <w:rPr>
                <w:sz w:val="22"/>
                <w:szCs w:val="17"/>
              </w:rPr>
            </w:r>
          </w:p>
        </w:tc>
      </w:tr>
    </w:tbl>
    <w:p>
      <w:pPr>
        <w:pStyle w:val="Normal"/>
        <w:rPr>
          <w:sz w:val="22"/>
          <w:szCs w:val="17"/>
        </w:rPr>
      </w:pPr>
      <w:r>
        <w:rPr>
          <w:sz w:val="22"/>
          <w:szCs w:val="17"/>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2"/>
                <w:szCs w:val="17"/>
              </w:rPr>
            </w:pPr>
            <w:r>
              <w:rPr>
                <w:sz w:val="22"/>
                <w:szCs w:val="17"/>
              </w:rPr>
              <w:t xml:space="preserve">Pay  </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Bank of America, N.A.</w:t>
            </w:r>
          </w:p>
        </w:tc>
      </w:tr>
      <w:tr>
        <w:trPr/>
        <w:tc>
          <w:tcPr>
            <w:tcW w:w="5490" w:type="dxa"/>
            <w:tcBorders/>
          </w:tcPr>
          <w:p>
            <w:pPr>
              <w:pStyle w:val="Normal"/>
              <w:snapToGrid w:val="false"/>
              <w:ind w:hanging="2160"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For the Account of</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Enron North America Corp.</w:t>
            </w:r>
          </w:p>
        </w:tc>
      </w:tr>
      <w:tr>
        <w:trPr/>
        <w:tc>
          <w:tcPr>
            <w:tcW w:w="5490" w:type="dxa"/>
            <w:tcBorders/>
          </w:tcPr>
          <w:p>
            <w:pPr>
              <w:pStyle w:val="Normal"/>
              <w:snapToGrid w:val="false"/>
              <w:ind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Account Number/</w:t>
            </w:r>
          </w:p>
          <w:p>
            <w:pPr>
              <w:pStyle w:val="Normal"/>
              <w:ind w:start="2862" w:end="0"/>
              <w:rPr>
                <w:sz w:val="22"/>
                <w:szCs w:val="17"/>
              </w:rPr>
            </w:pPr>
            <w:r>
              <w:rPr>
                <w:sz w:val="22"/>
                <w:szCs w:val="17"/>
              </w:rPr>
              <w:t>CHIPS UID</w:t>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p>
            <w:pPr>
              <w:pStyle w:val="Normal"/>
              <w:tabs>
                <w:tab w:val="clear" w:pos="720"/>
                <w:tab w:val="left" w:pos="360" w:leader="none"/>
              </w:tabs>
              <w:ind w:hanging="360" w:start="360" w:end="0"/>
              <w:rPr>
                <w:sz w:val="22"/>
                <w:szCs w:val="17"/>
              </w:rPr>
            </w:pPr>
            <w:r>
              <w:rPr>
                <w:sz w:val="22"/>
                <w:szCs w:val="17"/>
              </w:rPr>
              <w:t>:</w:t>
              <w:tab/>
              <w:t>3750494727</w:t>
            </w:r>
          </w:p>
        </w:tc>
      </w:tr>
      <w:tr>
        <w:trPr/>
        <w:tc>
          <w:tcPr>
            <w:tcW w:w="5490" w:type="dxa"/>
            <w:tcBorders/>
          </w:tcPr>
          <w:p>
            <w:pPr>
              <w:pStyle w:val="Normal"/>
              <w:snapToGrid w:val="false"/>
              <w:ind w:start="2862" w:end="0"/>
              <w:rPr>
                <w:sz w:val="22"/>
                <w:szCs w:val="17"/>
              </w:rPr>
            </w:pPr>
            <w:r>
              <w:rPr>
                <w:sz w:val="22"/>
                <w:szCs w:val="17"/>
              </w:rPr>
            </w:r>
          </w:p>
        </w:tc>
        <w:tc>
          <w:tcPr>
            <w:tcW w:w="5490" w:type="dxa"/>
            <w:gridSpan w:val="2"/>
            <w:tcBorders/>
          </w:tcPr>
          <w:p>
            <w:pPr>
              <w:pStyle w:val="Normal"/>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ind w:start="2862" w:end="0"/>
              <w:rPr>
                <w:sz w:val="22"/>
                <w:szCs w:val="17"/>
              </w:rPr>
            </w:pPr>
            <w:r>
              <w:rPr>
                <w:sz w:val="22"/>
                <w:szCs w:val="17"/>
              </w:rPr>
              <w:t>Fed. ABA No.</w:t>
            </w:r>
          </w:p>
        </w:tc>
        <w:tc>
          <w:tcPr>
            <w:tcW w:w="5490" w:type="dxa"/>
            <w:gridSpan w:val="2"/>
            <w:tcBorders/>
          </w:tcPr>
          <w:p>
            <w:pPr>
              <w:pStyle w:val="Normal"/>
              <w:tabs>
                <w:tab w:val="clear" w:pos="720"/>
                <w:tab w:val="left" w:pos="360" w:leader="none"/>
              </w:tabs>
              <w:ind w:hanging="360" w:start="360" w:end="0"/>
              <w:rPr>
                <w:sz w:val="22"/>
                <w:szCs w:val="17"/>
              </w:rPr>
            </w:pPr>
            <w:r>
              <w:rPr>
                <w:sz w:val="22"/>
                <w:szCs w:val="17"/>
              </w:rPr>
              <w:t>:</w:t>
              <w:tab/>
              <w:t>111000012</w:t>
            </w:r>
          </w:p>
        </w:tc>
      </w:tr>
      <w:tr>
        <w:trPr/>
        <w:tc>
          <w:tcPr>
            <w:tcW w:w="5499" w:type="dxa"/>
            <w:gridSpan w:val="2"/>
            <w:tcBorders/>
          </w:tcPr>
          <w:p>
            <w:pPr>
              <w:pStyle w:val="Normal"/>
              <w:snapToGrid w:val="false"/>
              <w:ind w:firstLine="90" w:start="2862" w:end="0"/>
              <w:rPr>
                <w:sz w:val="22"/>
                <w:szCs w:val="17"/>
              </w:rPr>
            </w:pPr>
            <w:r>
              <w:rPr>
                <w:sz w:val="22"/>
                <w:szCs w:val="17"/>
              </w:rPr>
            </w:r>
          </w:p>
        </w:tc>
        <w:tc>
          <w:tcPr>
            <w:tcW w:w="5499" w:type="dxa"/>
            <w:tcBorders/>
          </w:tcPr>
          <w:p>
            <w:pPr>
              <w:pStyle w:val="Normal"/>
              <w:snapToGrid w:val="false"/>
              <w:rPr>
                <w:sz w:val="22"/>
                <w:szCs w:val="17"/>
              </w:rPr>
            </w:pPr>
            <w:r>
              <w:rPr>
                <w:sz w:val="22"/>
                <w:szCs w:val="17"/>
              </w:rPr>
            </w:r>
          </w:p>
        </w:tc>
      </w:tr>
      <w:tr>
        <w:trPr/>
        <w:tc>
          <w:tcPr>
            <w:tcW w:w="5499" w:type="dxa"/>
            <w:gridSpan w:val="2"/>
            <w:tcBorders/>
          </w:tcPr>
          <w:p>
            <w:pPr>
              <w:pStyle w:val="Normal"/>
              <w:keepNext w:val="true"/>
              <w:ind w:hanging="2160" w:start="2862" w:end="0"/>
              <w:rPr>
                <w:sz w:val="22"/>
                <w:szCs w:val="17"/>
              </w:rPr>
            </w:pPr>
            <w:r>
              <w:rPr>
                <w:sz w:val="22"/>
                <w:szCs w:val="17"/>
              </w:rPr>
              <w:tab/>
            </w:r>
            <w:r>
              <w:rPr>
                <w:sz w:val="22"/>
                <w:szCs w:val="17"/>
                <w:u w:val="single"/>
              </w:rPr>
              <w:t>Payments to Counterparty:</w:t>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snapToGrid w:val="false"/>
              <w:ind w:hanging="216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 xml:space="preserve">Pay  </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hanging="2160"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For the Account of</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Account Number/</w:t>
            </w:r>
          </w:p>
          <w:p>
            <w:pPr>
              <w:pStyle w:val="Normal"/>
              <w:keepNext w:val="true"/>
              <w:ind w:start="2862" w:end="0"/>
              <w:rPr>
                <w:sz w:val="22"/>
                <w:szCs w:val="17"/>
              </w:rPr>
            </w:pPr>
            <w:r>
              <w:rPr>
                <w:sz w:val="22"/>
                <w:szCs w:val="17"/>
              </w:rPr>
              <w:t>CHIPS UID</w:t>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p>
            <w:pPr>
              <w:pStyle w:val="Normal"/>
              <w:keepNext w:val="true"/>
              <w:tabs>
                <w:tab w:val="clear" w:pos="720"/>
                <w:tab w:val="left" w:pos="360" w:leader="none"/>
              </w:tabs>
              <w:ind w:hanging="360" w:start="360" w:end="0"/>
              <w:rPr>
                <w:sz w:val="22"/>
                <w:szCs w:val="17"/>
              </w:rPr>
            </w:pPr>
            <w:r>
              <w:rPr>
                <w:sz w:val="22"/>
                <w:szCs w:val="17"/>
              </w:rPr>
              <w:t>:</w:t>
            </w:r>
          </w:p>
        </w:tc>
      </w:tr>
      <w:tr>
        <w:trPr/>
        <w:tc>
          <w:tcPr>
            <w:tcW w:w="5490" w:type="dxa"/>
            <w:tcBorders/>
          </w:tcPr>
          <w:p>
            <w:pPr>
              <w:pStyle w:val="Normal"/>
              <w:keepNext w:val="true"/>
              <w:snapToGrid w:val="false"/>
              <w:ind w:start="2862" w:end="0"/>
              <w:rPr>
                <w:sz w:val="22"/>
                <w:szCs w:val="17"/>
              </w:rPr>
            </w:pPr>
            <w:r>
              <w:rPr>
                <w:sz w:val="22"/>
                <w:szCs w:val="17"/>
              </w:rPr>
            </w:r>
          </w:p>
        </w:tc>
        <w:tc>
          <w:tcPr>
            <w:tcW w:w="5490" w:type="dxa"/>
            <w:gridSpan w:val="2"/>
            <w:tcBorders/>
          </w:tcPr>
          <w:p>
            <w:pPr>
              <w:pStyle w:val="Normal"/>
              <w:keepNext w:val="true"/>
              <w:tabs>
                <w:tab w:val="clear" w:pos="720"/>
                <w:tab w:val="left" w:pos="360" w:leader="none"/>
              </w:tabs>
              <w:snapToGrid w:val="false"/>
              <w:ind w:hanging="360" w:start="360" w:end="0"/>
              <w:rPr>
                <w:sz w:val="22"/>
                <w:szCs w:val="17"/>
              </w:rPr>
            </w:pPr>
            <w:r>
              <w:rPr>
                <w:sz w:val="22"/>
                <w:szCs w:val="17"/>
              </w:rPr>
            </w:r>
          </w:p>
        </w:tc>
      </w:tr>
      <w:tr>
        <w:trPr/>
        <w:tc>
          <w:tcPr>
            <w:tcW w:w="5490" w:type="dxa"/>
            <w:tcBorders/>
          </w:tcPr>
          <w:p>
            <w:pPr>
              <w:pStyle w:val="Normal"/>
              <w:keepNext w:val="true"/>
              <w:ind w:start="2862" w:end="0"/>
              <w:rPr>
                <w:sz w:val="22"/>
                <w:szCs w:val="17"/>
              </w:rPr>
            </w:pPr>
            <w:r>
              <w:rPr>
                <w:sz w:val="22"/>
                <w:szCs w:val="17"/>
              </w:rPr>
              <w:t>Fed. ABA No.</w:t>
            </w:r>
          </w:p>
        </w:tc>
        <w:tc>
          <w:tcPr>
            <w:tcW w:w="5490" w:type="dxa"/>
            <w:gridSpan w:val="2"/>
            <w:tcBorders/>
          </w:tcPr>
          <w:p>
            <w:pPr>
              <w:pStyle w:val="Normal"/>
              <w:keepNext w:val="true"/>
              <w:tabs>
                <w:tab w:val="clear" w:pos="720"/>
                <w:tab w:val="left" w:pos="360" w:leader="none"/>
              </w:tabs>
              <w:ind w:hanging="360" w:start="360" w:end="0"/>
              <w:rPr>
                <w:sz w:val="22"/>
                <w:szCs w:val="17"/>
              </w:rPr>
            </w:pPr>
            <w:r>
              <w:rPr>
                <w:sz w:val="22"/>
                <w:szCs w:val="17"/>
              </w:rPr>
              <w:t>:</w:t>
            </w:r>
          </w:p>
        </w:tc>
      </w:tr>
      <w:tr>
        <w:trPr/>
        <w:tc>
          <w:tcPr>
            <w:tcW w:w="5499" w:type="dxa"/>
            <w:gridSpan w:val="2"/>
            <w:tcBorders/>
          </w:tcPr>
          <w:p>
            <w:pPr>
              <w:pStyle w:val="Normal"/>
              <w:keepNext w:val="true"/>
              <w:snapToGrid w:val="false"/>
              <w:ind w:firstLine="9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ind w:hanging="2160" w:start="2862" w:end="0"/>
              <w:rPr>
                <w:sz w:val="22"/>
                <w:szCs w:val="17"/>
              </w:rPr>
            </w:pPr>
            <w:r>
              <w:rPr>
                <w:sz w:val="22"/>
                <w:szCs w:val="17"/>
              </w:rPr>
              <w:tab/>
              <w:t xml:space="preserve">Attn:  </w:t>
            </w:r>
          </w:p>
        </w:tc>
        <w:tc>
          <w:tcPr>
            <w:tcW w:w="5499" w:type="dxa"/>
            <w:tcBorders/>
          </w:tcPr>
          <w:p>
            <w:pPr>
              <w:pStyle w:val="Normal"/>
              <w:keepNext w:val="true"/>
              <w:snapToGrid w:val="false"/>
              <w:rPr>
                <w:sz w:val="22"/>
                <w:szCs w:val="17"/>
              </w:rPr>
            </w:pPr>
            <w:r>
              <w:rPr>
                <w:sz w:val="22"/>
                <w:szCs w:val="17"/>
              </w:rPr>
            </w:r>
          </w:p>
        </w:tc>
      </w:tr>
      <w:tr>
        <w:trPr/>
        <w:tc>
          <w:tcPr>
            <w:tcW w:w="5499" w:type="dxa"/>
            <w:gridSpan w:val="2"/>
            <w:tcBorders/>
          </w:tcPr>
          <w:p>
            <w:pPr>
              <w:pStyle w:val="Normal"/>
              <w:keepNext w:val="true"/>
              <w:snapToGrid w:val="false"/>
              <w:ind w:hanging="2160" w:start="2862" w:end="0"/>
              <w:rPr>
                <w:sz w:val="22"/>
                <w:szCs w:val="17"/>
              </w:rPr>
            </w:pPr>
            <w:r>
              <w:rPr>
                <w:sz w:val="22"/>
                <w:szCs w:val="17"/>
              </w:rPr>
            </w:r>
          </w:p>
        </w:tc>
        <w:tc>
          <w:tcPr>
            <w:tcW w:w="5499" w:type="dxa"/>
            <w:tcBorders/>
          </w:tcPr>
          <w:p>
            <w:pPr>
              <w:pStyle w:val="Normal"/>
              <w:keepNext w:val="true"/>
              <w:snapToGrid w:val="false"/>
              <w:rPr>
                <w:sz w:val="22"/>
                <w:szCs w:val="17"/>
              </w:rPr>
            </w:pPr>
            <w:r>
              <w:rPr>
                <w:sz w:val="22"/>
                <w:szCs w:val="17"/>
              </w:rPr>
            </w:r>
          </w:p>
        </w:tc>
      </w:tr>
    </w:tbl>
    <w:p>
      <w:pPr>
        <w:pStyle w:val="Normal"/>
        <w:jc w:val="both"/>
        <w:rPr>
          <w:sz w:val="22"/>
          <w:szCs w:val="17"/>
        </w:rPr>
      </w:pPr>
      <w:r>
        <w:rPr>
          <w:sz w:val="22"/>
          <w:szCs w:val="17"/>
        </w:rPr>
      </w:r>
    </w:p>
    <w:p>
      <w:pPr>
        <w:pStyle w:val="Normal"/>
        <w:jc w:val="both"/>
        <w:rPr/>
      </w:pPr>
      <w:r>
        <w:rPr>
          <w:sz w:val="22"/>
          <w:szCs w:val="17"/>
        </w:rPr>
        <w:t>4.</w:t>
        <w:tab/>
      </w:r>
      <w:r>
        <w:rPr>
          <w:b/>
          <w:sz w:val="22"/>
          <w:szCs w:val="17"/>
          <w:u w:val="single"/>
        </w:rPr>
        <w:t>General</w:t>
      </w:r>
      <w:r>
        <w:rPr>
          <w:b/>
          <w:sz w:val="22"/>
          <w:szCs w:val="17"/>
        </w:rPr>
        <w:t>.</w:t>
      </w:r>
      <w:r>
        <w:rPr>
          <w:sz w:val="22"/>
          <w:szCs w:val="17"/>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2"/>
          <w:szCs w:val="17"/>
        </w:rPr>
      </w:pPr>
      <w:r>
        <w:rPr>
          <w:sz w:val="22"/>
          <w:szCs w:val="17"/>
        </w:rPr>
      </w:r>
    </w:p>
    <w:p>
      <w:pPr>
        <w:pStyle w:val="Normal"/>
        <w:jc w:val="both"/>
        <w:rPr>
          <w:sz w:val="22"/>
          <w:szCs w:val="17"/>
        </w:rPr>
      </w:pPr>
      <w:r>
        <w:rPr>
          <w:sz w:val="22"/>
          <w:szCs w:val="17"/>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spacing w:lineRule="exact" w:line="240" w:before="240" w:after="0"/>
        <w:jc w:val="both"/>
        <w:rPr/>
      </w:pPr>
      <w:r>
        <w:rPr>
          <w:sz w:val="22"/>
          <w:szCs w:val="17"/>
        </w:rPr>
        <w:t>5.</w:t>
      </w:r>
      <w:r>
        <w:rPr>
          <w:b/>
          <w:sz w:val="22"/>
          <w:szCs w:val="17"/>
        </w:rPr>
        <w:tab/>
        <w:tab/>
      </w:r>
      <w:r>
        <w:rPr>
          <w:b/>
          <w:sz w:val="22"/>
          <w:szCs w:val="17"/>
          <w:u w:val="single"/>
        </w:rPr>
        <w:t>Representations</w:t>
      </w:r>
      <w:r>
        <w:rPr>
          <w:b/>
          <w:sz w:val="22"/>
          <w:szCs w:val="17"/>
        </w:rPr>
        <w:t>.</w:t>
      </w:r>
      <w:r>
        <w:rPr>
          <w:sz w:val="22"/>
          <w:szCs w:val="17"/>
        </w:rPr>
        <w:t xml:space="preserve">  To induce the other to enter into the Transaction, each party represents and warrants to the other that:  (a) </w:t>
      </w:r>
      <w:r>
        <w:rPr>
          <w:sz w:val="22"/>
          <w:szCs w:val="17"/>
          <w:u w:val="single"/>
        </w:rPr>
        <w:t>Authority</w:t>
      </w:r>
      <w:r>
        <w:rPr>
          <w:sz w:val="22"/>
          <w:szCs w:val="17"/>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2"/>
          <w:szCs w:val="17"/>
          <w:u w:val="single"/>
        </w:rPr>
        <w:t>Eligibility</w:t>
      </w:r>
      <w:r>
        <w:rPr>
          <w:sz w:val="22"/>
          <w:szCs w:val="17"/>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2"/>
          <w:szCs w:val="17"/>
          <w:u w:val="single"/>
        </w:rPr>
        <w:t>No Reliance and No Advisory Status</w:t>
      </w:r>
      <w:r>
        <w:rPr>
          <w:sz w:val="22"/>
          <w:szCs w:val="17"/>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(d) </w:t>
      </w:r>
      <w:r>
        <w:rPr>
          <w:sz w:val="22"/>
          <w:szCs w:val="17"/>
          <w:u w:val="single"/>
        </w:rPr>
        <w:t>Tax Representations and Covenants</w:t>
      </w:r>
      <w:r>
        <w:rPr>
          <w:sz w:val="22"/>
          <w:szCs w:val="17"/>
        </w:rPr>
        <w:t xml:space="preserve">:  for purposes of Section 3(e) and 3(f) of the ISDA Agreement, each of the parties makes the representations applicable to it as set forth in Sections I(a) and (b) of </w:t>
      </w:r>
      <w:r>
        <w:rPr>
          <w:sz w:val="22"/>
          <w:szCs w:val="17"/>
          <w:u w:val="single"/>
        </w:rPr>
        <w:t>Annex A</w:t>
      </w:r>
      <w:r>
        <w:rPr>
          <w:sz w:val="22"/>
          <w:szCs w:val="17"/>
        </w:rPr>
        <w:t xml:space="preserve"> to this Confirmation as of the Trade Date and as of the date of this Confirmation and in the case of the representations given for purposes of Section 3(f) of the ISDA Agreement (which representations are set forth in Section I(b) of </w:t>
      </w:r>
      <w:r>
        <w:rPr>
          <w:sz w:val="22"/>
          <w:szCs w:val="17"/>
          <w:u w:val="single"/>
        </w:rPr>
        <w:t>Annex A</w:t>
      </w:r>
      <w:r>
        <w:rPr>
          <w:sz w:val="22"/>
          <w:szCs w:val="17"/>
        </w:rPr>
        <w:t xml:space="preserve">), at all times until termination of the Transaction.  In addition, each party covenants and agrees that it will deliver to the other party the Tax forms, documents or certificates as required pursuant to Section II(a) of </w:t>
      </w:r>
      <w:r>
        <w:rPr>
          <w:sz w:val="22"/>
          <w:szCs w:val="17"/>
          <w:u w:val="single"/>
        </w:rPr>
        <w:t>Annex A</w:t>
      </w:r>
      <w:r>
        <w:rPr>
          <w:sz w:val="22"/>
          <w:szCs w:val="17"/>
        </w:rPr>
        <w:t>.</w:t>
      </w:r>
    </w:p>
    <w:p>
      <w:pPr>
        <w:pStyle w:val="Normal"/>
        <w:jc w:val="both"/>
        <w:rPr>
          <w:sz w:val="22"/>
          <w:szCs w:val="17"/>
        </w:rPr>
      </w:pPr>
      <w:r>
        <w:rPr>
          <w:sz w:val="22"/>
          <w:szCs w:val="17"/>
        </w:rPr>
      </w:r>
    </w:p>
    <w:p>
      <w:pPr>
        <w:pStyle w:val="Normal"/>
        <w:jc w:val="both"/>
        <w:rPr/>
      </w:pPr>
      <w:r>
        <w:rPr>
          <w:sz w:val="22"/>
          <w:szCs w:val="17"/>
        </w:rPr>
        <w:t>6.</w:t>
        <w:tab/>
      </w:r>
      <w:r>
        <w:rPr>
          <w:b/>
          <w:sz w:val="22"/>
          <w:szCs w:val="17"/>
          <w:u w:val="single"/>
        </w:rPr>
        <w:t>Early Termination</w:t>
      </w:r>
      <w:r>
        <w:rPr>
          <w:b/>
          <w:sz w:val="22"/>
          <w:szCs w:val="17"/>
        </w:rPr>
        <w:t>.</w:t>
      </w:r>
      <w:r>
        <w:rPr>
          <w:sz w:val="22"/>
          <w:szCs w:val="17"/>
        </w:rPr>
        <w:t xml:space="preserve">  For purposes of Section 6(e) of the ISDA Agreement, the Second Method and Loss shall apply.</w:t>
      </w:r>
    </w:p>
    <w:p>
      <w:pPr>
        <w:pStyle w:val="Normal"/>
        <w:jc w:val="both"/>
        <w:rPr>
          <w:sz w:val="22"/>
          <w:szCs w:val="17"/>
        </w:rPr>
      </w:pPr>
      <w:r>
        <w:rPr>
          <w:sz w:val="22"/>
          <w:szCs w:val="17"/>
        </w:rPr>
      </w:r>
    </w:p>
    <w:p>
      <w:pPr>
        <w:pStyle w:val="Normal"/>
        <w:jc w:val="both"/>
        <w:rPr/>
      </w:pPr>
      <w:r>
        <w:rPr>
          <w:sz w:val="22"/>
          <w:szCs w:val="17"/>
        </w:rPr>
        <w:t>7.</w:t>
        <w:tab/>
      </w:r>
      <w:r>
        <w:rPr>
          <w:b/>
          <w:sz w:val="22"/>
          <w:szCs w:val="17"/>
          <w:u w:val="single"/>
        </w:rPr>
        <w:t>Governing Law/Jurisdiction</w:t>
      </w:r>
      <w:r>
        <w:rPr>
          <w:b/>
          <w:sz w:val="22"/>
          <w:szCs w:val="17"/>
        </w:rPr>
        <w:t>.</w:t>
      </w:r>
      <w:r>
        <w:rPr>
          <w:sz w:val="22"/>
          <w:szCs w:val="17"/>
        </w:rPr>
        <w:t xml:space="preserve">  This Confirmation and the ISDA Agreement will be governed by and construed in accordance with the laws of the State of New York (without reference to choice of law doctrine).</w:t>
      </w:r>
    </w:p>
    <w:p>
      <w:pPr>
        <w:pStyle w:val="Normal"/>
        <w:jc w:val="both"/>
        <w:rPr>
          <w:sz w:val="22"/>
          <w:szCs w:val="17"/>
        </w:rPr>
      </w:pPr>
      <w:r>
        <w:rPr>
          <w:sz w:val="22"/>
          <w:szCs w:val="17"/>
        </w:rPr>
      </w:r>
    </w:p>
    <w:p>
      <w:pPr>
        <w:pStyle w:val="Normal"/>
        <w:jc w:val="both"/>
        <w:rPr/>
      </w:pPr>
      <w:r>
        <w:rPr>
          <w:sz w:val="22"/>
          <w:szCs w:val="17"/>
        </w:rPr>
        <w:t>8.</w:t>
        <w:tab/>
      </w:r>
      <w:r>
        <w:rPr>
          <w:b/>
          <w:sz w:val="22"/>
          <w:szCs w:val="17"/>
          <w:u w:val="single"/>
        </w:rPr>
        <w:t>Confidentiality</w:t>
      </w:r>
      <w:r>
        <w:rPr>
          <w:b/>
          <w:sz w:val="22"/>
          <w:szCs w:val="17"/>
        </w:rPr>
        <w:t>.</w:t>
      </w:r>
      <w:r>
        <w:rPr>
          <w:sz w:val="22"/>
          <w:szCs w:val="17"/>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2"/>
          <w:szCs w:val="17"/>
        </w:rPr>
      </w:pPr>
      <w:r>
        <w:rPr>
          <w:sz w:val="22"/>
          <w:szCs w:val="17"/>
        </w:rPr>
      </w:r>
    </w:p>
    <w:p>
      <w:pPr>
        <w:pStyle w:val="Normal"/>
        <w:jc w:val="both"/>
        <w:rPr/>
      </w:pPr>
      <w:r>
        <w:rPr>
          <w:sz w:val="22"/>
          <w:szCs w:val="17"/>
        </w:rPr>
        <w:t>9.</w:t>
        <w:tab/>
      </w:r>
      <w:r>
        <w:rPr>
          <w:b/>
          <w:sz w:val="22"/>
          <w:szCs w:val="17"/>
          <w:u w:val="single"/>
        </w:rPr>
        <w:t>Calculation Agent</w:t>
      </w:r>
      <w:r>
        <w:rPr>
          <w:b/>
          <w:sz w:val="22"/>
          <w:szCs w:val="17"/>
        </w:rPr>
        <w:t>.</w:t>
      </w:r>
      <w:r>
        <w:rPr>
          <w:sz w:val="22"/>
          <w:szCs w:val="17"/>
        </w:rPr>
        <w:t xml:space="preserve">  The Calculation Agent shall be ENA.</w:t>
      </w:r>
    </w:p>
    <w:p>
      <w:pPr>
        <w:pStyle w:val="Normal"/>
        <w:jc w:val="both"/>
        <w:rPr>
          <w:sz w:val="22"/>
          <w:szCs w:val="17"/>
        </w:rPr>
      </w:pPr>
      <w:r>
        <w:rPr>
          <w:sz w:val="22"/>
          <w:szCs w:val="17"/>
        </w:rPr>
      </w:r>
    </w:p>
    <w:p>
      <w:pPr>
        <w:pStyle w:val="Normal"/>
        <w:tabs>
          <w:tab w:val="left" w:pos="720" w:leader="none"/>
          <w:tab w:val="left" w:pos="1170" w:leader="none"/>
        </w:tabs>
        <w:jc w:val="both"/>
        <w:rPr/>
      </w:pPr>
      <w:r>
        <w:rPr>
          <w:sz w:val="22"/>
          <w:szCs w:val="17"/>
        </w:rPr>
        <w:t>10.</w:t>
        <w:tab/>
      </w:r>
      <w:r>
        <w:rPr>
          <w:b/>
          <w:sz w:val="22"/>
          <w:szCs w:val="17"/>
          <w:u w:val="single"/>
        </w:rPr>
        <w:t>Limitation of Liability</w:t>
      </w:r>
      <w:r>
        <w:rPr>
          <w:b/>
          <w:sz w:val="22"/>
          <w:szCs w:val="17"/>
        </w:rPr>
        <w:t xml:space="preserve">. </w:t>
      </w:r>
      <w:r>
        <w:rPr>
          <w:sz w:val="22"/>
          <w:szCs w:val="17"/>
        </w:rPr>
        <w:t xml:space="preserve">  </w:t>
      </w:r>
      <w:r>
        <w:rPr>
          <w:b/>
          <w:caps/>
          <w:sz w:val="22"/>
          <w:szCs w:val="17"/>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2"/>
          <w:szCs w:val="17"/>
        </w:rPr>
        <w:t xml:space="preserve"> </w:t>
      </w:r>
    </w:p>
    <w:p>
      <w:pPr>
        <w:pStyle w:val="Normal"/>
        <w:rPr>
          <w:sz w:val="22"/>
          <w:szCs w:val="17"/>
        </w:rPr>
      </w:pPr>
      <w:r>
        <w:rPr>
          <w:sz w:val="22"/>
          <w:szCs w:val="17"/>
        </w:rPr>
      </w:r>
    </w:p>
    <w:p>
      <w:pPr>
        <w:pStyle w:val="Normal"/>
        <w:jc w:val="both"/>
        <w:rPr/>
      </w:pPr>
      <w:r>
        <w:rPr>
          <w:sz w:val="22"/>
          <w:szCs w:val="17"/>
        </w:rPr>
        <w:t>11.</w:t>
        <w:tab/>
      </w:r>
      <w:r>
        <w:rPr>
          <w:b/>
          <w:sz w:val="22"/>
          <w:szCs w:val="17"/>
          <w:u w:val="single"/>
        </w:rPr>
        <w:t>Setoff</w:t>
      </w:r>
      <w:r>
        <w:rPr>
          <w:b/>
          <w:sz w:val="22"/>
          <w:szCs w:val="17"/>
        </w:rPr>
        <w:t>.</w:t>
      </w:r>
      <w:r>
        <w:rPr>
          <w:sz w:val="22"/>
          <w:szCs w:val="17"/>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2"/>
          <w:szCs w:val="17"/>
        </w:rPr>
      </w:pPr>
      <w:r>
        <w:rPr>
          <w:sz w:val="22"/>
          <w:szCs w:val="17"/>
        </w:rPr>
      </w:r>
    </w:p>
    <w:p>
      <w:pPr>
        <w:pStyle w:val="Normal"/>
        <w:ind w:firstLine="720" w:end="0"/>
        <w:jc w:val="both"/>
        <w:rPr>
          <w:sz w:val="22"/>
          <w:szCs w:val="17"/>
        </w:rPr>
      </w:pPr>
      <w:r>
        <w:rPr>
          <w:sz w:val="22"/>
          <w:szCs w:val="17"/>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2"/>
          <w:szCs w:val="17"/>
        </w:rPr>
      </w:pPr>
      <w:r>
        <w:rPr>
          <w:sz w:val="22"/>
          <w:szCs w:val="17"/>
        </w:rPr>
      </w:r>
    </w:p>
    <w:p>
      <w:pPr>
        <w:pStyle w:val="Normal"/>
        <w:rPr>
          <w:sz w:val="22"/>
          <w:szCs w:val="17"/>
        </w:rPr>
      </w:pPr>
      <w:r>
        <w:rPr>
          <w:sz w:val="22"/>
          <w:szCs w:val="17"/>
        </w:rPr>
        <w:t>12.</w:t>
        <w:tab/>
        <w:t>The Termination Currency shall be United States Dollars.</w:t>
      </w:r>
    </w:p>
    <w:p>
      <w:pPr>
        <w:pStyle w:val="Normal"/>
        <w:rPr>
          <w:sz w:val="22"/>
          <w:szCs w:val="17"/>
        </w:rPr>
      </w:pPr>
      <w:r>
        <w:rPr>
          <w:sz w:val="22"/>
          <w:szCs w:val="17"/>
        </w:rPr>
      </w:r>
    </w:p>
    <w:p>
      <w:pPr>
        <w:pStyle w:val="Normal"/>
        <w:rPr>
          <w:sz w:val="22"/>
          <w:szCs w:val="17"/>
        </w:rPr>
      </w:pPr>
      <w:r>
        <w:rPr>
          <w:sz w:val="22"/>
          <w:szCs w:val="17"/>
        </w:rPr>
        <w:t>13.</w:t>
        <w:tab/>
      </w:r>
      <w:r>
        <w:rPr>
          <w:b/>
          <w:sz w:val="22"/>
          <w:szCs w:val="17"/>
          <w:u w:val="single"/>
        </w:rPr>
        <w:t>Offices</w:t>
      </w:r>
      <w:r>
        <w:rPr>
          <w:b/>
          <w:sz w:val="22"/>
          <w:szCs w:val="17"/>
        </w:rPr>
        <w:t>.</w:t>
      </w:r>
    </w:p>
    <w:p>
      <w:pPr>
        <w:pStyle w:val="Normal"/>
        <w:keepNext w:val="true"/>
        <w:rPr>
          <w:sz w:val="22"/>
          <w:szCs w:val="17"/>
        </w:rPr>
      </w:pPr>
      <w:r>
        <w:rPr>
          <w:sz w:val="22"/>
          <w:szCs w:val="17"/>
        </w:rPr>
      </w:r>
    </w:p>
    <w:p>
      <w:pPr>
        <w:pStyle w:val="Normal"/>
        <w:keepNext w:val="true"/>
        <w:jc w:val="both"/>
        <w:rPr>
          <w:sz w:val="22"/>
          <w:szCs w:val="17"/>
        </w:rPr>
      </w:pPr>
      <w:r>
        <w:rPr>
          <w:sz w:val="22"/>
          <w:szCs w:val="17"/>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2"/>
          <w:szCs w:val="17"/>
        </w:rPr>
      </w:pPr>
      <w:r>
        <w:rPr>
          <w:sz w:val="22"/>
          <w:szCs w:val="17"/>
        </w:rPr>
      </w:r>
    </w:p>
    <w:p>
      <w:pPr>
        <w:pStyle w:val="Normal"/>
        <w:jc w:val="both"/>
        <w:rPr>
          <w:sz w:val="22"/>
          <w:szCs w:val="17"/>
        </w:rPr>
      </w:pPr>
      <w:r>
        <w:rPr>
          <w:sz w:val="22"/>
          <w:szCs w:val="17"/>
        </w:rPr>
        <w:tab/>
        <w:t>(b)</w:t>
        <w:tab/>
        <w:t>The office of Credit Suisse First Boston, London Branch is and copies of any notices should be delivered to: ________________________________________, Attention:________________, Facsimile No. _____________.</w:t>
      </w:r>
    </w:p>
    <w:p>
      <w:pPr>
        <w:pStyle w:val="Normal"/>
        <w:jc w:val="both"/>
        <w:rPr>
          <w:sz w:val="22"/>
          <w:szCs w:val="17"/>
        </w:rPr>
      </w:pPr>
      <w:r>
        <w:rPr>
          <w:sz w:val="22"/>
          <w:szCs w:val="17"/>
        </w:rPr>
      </w:r>
    </w:p>
    <w:p>
      <w:pPr>
        <w:pStyle w:val="BodyText"/>
        <w:rPr>
          <w:sz w:val="22"/>
          <w:szCs w:val="17"/>
        </w:rPr>
      </w:pPr>
      <w:r>
        <w:rPr>
          <w:sz w:val="22"/>
          <w:szCs w:val="17"/>
        </w:rPr>
        <w:t>Please promptly confirm that the foregoing correctly sets forth the terms of the Transaction entered into between us by executing the copy of this Confirmation and returning it to us within one Business Day of receipt hereof via Facsimile to (___) __________, Attention:  Director, Documentation Dept.  A copy of the originally executed Confirmation should be sent to us by overnight delivery for receipt within two Business Days of receipt hereof.</w:t>
      </w:r>
    </w:p>
    <w:p>
      <w:pPr>
        <w:pStyle w:val="Normal"/>
        <w:jc w:val="both"/>
        <w:rPr>
          <w:sz w:val="22"/>
          <w:szCs w:val="17"/>
        </w:rPr>
      </w:pPr>
      <w:r>
        <w:rPr>
          <w:sz w:val="22"/>
          <w:szCs w:val="17"/>
        </w:rPr>
        <w:t>Enron North America Corp. is pleased to have entered into this Transaction with you.</w:t>
      </w:r>
    </w:p>
    <w:p>
      <w:pPr>
        <w:pStyle w:val="Normal"/>
        <w:rPr>
          <w:sz w:val="22"/>
          <w:szCs w:val="17"/>
        </w:rPr>
      </w:pPr>
      <w:r>
        <w:rPr>
          <w:sz w:val="22"/>
          <w:szCs w:val="17"/>
        </w:rPr>
      </w:r>
    </w:p>
    <w:p>
      <w:pPr>
        <w:pStyle w:val="Index1"/>
        <w:rPr/>
      </w:pPr>
      <w:r>
        <w:rPr/>
        <w:t>Yours sincerely,</w:t>
      </w:r>
    </w:p>
    <w:p>
      <w:pPr>
        <w:pStyle w:val="Normal"/>
        <w:rPr/>
      </w:pPr>
      <w:r>
        <w:rPr/>
      </w:r>
    </w:p>
    <w:p>
      <w:pPr>
        <w:pStyle w:val="Normal"/>
        <w:keepNext w:val="true"/>
        <w:rPr>
          <w:b/>
          <w:bCs/>
          <w:sz w:val="22"/>
          <w:szCs w:val="17"/>
        </w:rPr>
      </w:pPr>
      <w:r>
        <w:rPr>
          <w:b/>
          <w:bCs/>
          <w:sz w:val="22"/>
          <w:szCs w:val="17"/>
        </w:rPr>
        <w:t>ENRON NORTH AMERICA CORP.</w:t>
      </w:r>
    </w:p>
    <w:p>
      <w:pPr>
        <w:pStyle w:val="Normal"/>
        <w:keepNext w:val="true"/>
        <w:rPr>
          <w:b/>
          <w:bCs/>
          <w:sz w:val="22"/>
          <w:szCs w:val="17"/>
        </w:rPr>
      </w:pPr>
      <w:r>
        <w:rPr>
          <w:b/>
          <w:bCs/>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pStyle w:val="Normal"/>
        <w:keepNext w:val="true"/>
        <w:rPr>
          <w:sz w:val="22"/>
          <w:szCs w:val="17"/>
        </w:rPr>
      </w:pPr>
      <w:r>
        <w:rPr>
          <w:sz w:val="22"/>
          <w:szCs w:val="17"/>
        </w:rPr>
        <w:t>Title:</w:t>
        <w:tab/>
        <w:t>_____________________________</w:t>
      </w:r>
    </w:p>
    <w:p>
      <w:pPr>
        <w:pStyle w:val="Normal"/>
        <w:keepNext w:val="true"/>
        <w:rPr>
          <w:sz w:val="22"/>
          <w:szCs w:val="17"/>
        </w:rPr>
      </w:pPr>
      <w:r>
        <w:rPr>
          <w:sz w:val="22"/>
          <w:szCs w:val="17"/>
        </w:rPr>
      </w:r>
    </w:p>
    <w:p>
      <w:pPr>
        <w:pStyle w:val="Normal"/>
        <w:keepNext w:val="true"/>
        <w:rPr>
          <w:sz w:val="22"/>
          <w:szCs w:val="17"/>
        </w:rPr>
      </w:pPr>
      <w:r>
        <w:rPr>
          <w:sz w:val="22"/>
          <w:szCs w:val="17"/>
        </w:rPr>
        <w:t>Confirmed as of the Trade Date:</w:t>
      </w:r>
    </w:p>
    <w:p>
      <w:pPr>
        <w:pStyle w:val="Normal"/>
        <w:keepNext w:val="true"/>
        <w:rPr>
          <w:sz w:val="22"/>
          <w:szCs w:val="17"/>
        </w:rPr>
      </w:pPr>
      <w:r>
        <w:rPr>
          <w:sz w:val="22"/>
          <w:szCs w:val="17"/>
        </w:rPr>
      </w:r>
    </w:p>
    <w:p>
      <w:pPr>
        <w:pStyle w:val="Normal"/>
        <w:keepNext w:val="true"/>
        <w:rPr>
          <w:b/>
          <w:sz w:val="22"/>
          <w:szCs w:val="17"/>
        </w:rPr>
      </w:pPr>
      <w:r>
        <w:rPr>
          <w:b/>
          <w:sz w:val="22"/>
          <w:szCs w:val="17"/>
        </w:rPr>
        <w:t>CREDIT SUISSE FIRST BOSTON,</w:t>
      </w:r>
    </w:p>
    <w:p>
      <w:pPr>
        <w:pStyle w:val="Normal"/>
        <w:keepNext w:val="true"/>
        <w:rPr>
          <w:b/>
          <w:sz w:val="22"/>
          <w:szCs w:val="17"/>
        </w:rPr>
      </w:pPr>
      <w:r>
        <w:rPr>
          <w:b/>
          <w:sz w:val="22"/>
          <w:szCs w:val="17"/>
        </w:rPr>
        <w:t>LONDON BRANCH</w:t>
      </w:r>
    </w:p>
    <w:p>
      <w:pPr>
        <w:pStyle w:val="Normal"/>
        <w:keepNext w:val="true"/>
        <w:rPr>
          <w:b/>
          <w:sz w:val="22"/>
          <w:szCs w:val="17"/>
        </w:rPr>
      </w:pPr>
      <w:r>
        <w:rPr>
          <w:b/>
          <w:sz w:val="22"/>
          <w:szCs w:val="17"/>
        </w:rPr>
      </w:r>
    </w:p>
    <w:p>
      <w:pPr>
        <w:pStyle w:val="Normal"/>
        <w:keepNext w:val="true"/>
        <w:rPr>
          <w:sz w:val="22"/>
          <w:szCs w:val="17"/>
        </w:rPr>
      </w:pPr>
      <w:r>
        <w:rPr>
          <w:sz w:val="22"/>
          <w:szCs w:val="17"/>
        </w:rPr>
        <w:t>By:</w:t>
        <w:tab/>
        <w:t>_____________________________</w:t>
      </w:r>
    </w:p>
    <w:p>
      <w:pPr>
        <w:pStyle w:val="Normal"/>
        <w:keepNext w:val="true"/>
        <w:rPr>
          <w:sz w:val="22"/>
          <w:szCs w:val="17"/>
        </w:rPr>
      </w:pPr>
      <w:r>
        <w:rPr>
          <w:sz w:val="22"/>
          <w:szCs w:val="17"/>
        </w:rPr>
        <w:t>Name:</w:t>
        <w:tab/>
        <w:t>_____________________________</w:t>
      </w:r>
    </w:p>
    <w:p>
      <w:pPr>
        <w:pStyle w:val="Normal"/>
        <w:keepNext w:val="true"/>
        <w:rPr>
          <w:sz w:val="22"/>
          <w:szCs w:val="17"/>
        </w:rPr>
      </w:pPr>
      <w:r>
        <w:rPr>
          <w:sz w:val="22"/>
          <w:szCs w:val="17"/>
        </w:rPr>
        <w:t>Title:</w:t>
        <w:tab/>
        <w:t>_____________________________</w:t>
      </w:r>
    </w:p>
    <w:p>
      <w:pPr>
        <w:pStyle w:val="Normal"/>
        <w:keepNext w:val="true"/>
        <w:rPr>
          <w:sz w:val="22"/>
          <w:szCs w:val="17"/>
        </w:rPr>
      </w:pPr>
      <w:r>
        <w:rPr>
          <w:sz w:val="22"/>
          <w:szCs w:val="17"/>
        </w:rPr>
      </w:r>
    </w:p>
    <w:p>
      <w:pPr>
        <w:pStyle w:val="Normal"/>
        <w:keepNext w:val="true"/>
        <w:rPr>
          <w:sz w:val="22"/>
          <w:szCs w:val="17"/>
        </w:rPr>
      </w:pPr>
      <w:r>
        <w:rPr>
          <w:sz w:val="22"/>
          <w:szCs w:val="17"/>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rPr>
          <w:sz w:val="22"/>
          <w:szCs w:val="17"/>
        </w:rPr>
      </w:pPr>
      <w:r>
        <w:rPr>
          <w:sz w:val="22"/>
          <w:szCs w:val="17"/>
        </w:rPr>
      </w:r>
    </w:p>
    <w:p>
      <w:pPr>
        <w:pStyle w:val="Normal"/>
        <w:keepNext w:val="true"/>
        <w:spacing w:lineRule="exact" w:line="240"/>
        <w:jc w:val="center"/>
        <w:rPr>
          <w:b/>
          <w:sz w:val="22"/>
          <w:szCs w:val="17"/>
        </w:rPr>
      </w:pPr>
      <w:r>
        <w:rPr>
          <w:b/>
          <w:sz w:val="22"/>
          <w:szCs w:val="17"/>
        </w:rPr>
        <w:t>ANNEX A</w:t>
      </w:r>
    </w:p>
    <w:p>
      <w:pPr>
        <w:pStyle w:val="Normal"/>
        <w:keepNext w:val="true"/>
        <w:spacing w:lineRule="exact" w:line="240"/>
        <w:jc w:val="center"/>
        <w:rPr>
          <w:b/>
          <w:sz w:val="22"/>
          <w:szCs w:val="17"/>
        </w:rPr>
      </w:pPr>
      <w:r>
        <w:rPr>
          <w:b/>
          <w:sz w:val="22"/>
          <w:szCs w:val="17"/>
        </w:rPr>
      </w:r>
    </w:p>
    <w:p>
      <w:pPr>
        <w:pStyle w:val="Normal"/>
        <w:keepNext w:val="true"/>
        <w:spacing w:lineRule="exact" w:line="240"/>
        <w:jc w:val="center"/>
        <w:rPr>
          <w:b/>
          <w:sz w:val="22"/>
          <w:szCs w:val="17"/>
        </w:rPr>
      </w:pPr>
      <w:r>
        <w:rPr>
          <w:b/>
          <w:sz w:val="22"/>
          <w:szCs w:val="17"/>
        </w:rPr>
        <w:t>U.S. WITHHOLDING TAX</w:t>
      </w:r>
    </w:p>
    <w:p>
      <w:pPr>
        <w:pStyle w:val="Normal"/>
        <w:keepNext w:val="true"/>
        <w:spacing w:lineRule="exact" w:line="240"/>
        <w:jc w:val="center"/>
        <w:rPr>
          <w:b/>
          <w:sz w:val="22"/>
          <w:szCs w:val="17"/>
        </w:rPr>
      </w:pPr>
      <w:r>
        <w:rPr>
          <w:b/>
          <w:sz w:val="22"/>
          <w:szCs w:val="17"/>
        </w:rPr>
      </w:r>
    </w:p>
    <w:p>
      <w:pPr>
        <w:pStyle w:val="Normal"/>
        <w:keepNext w:val="true"/>
        <w:jc w:val="center"/>
        <w:rPr>
          <w:b/>
          <w:sz w:val="22"/>
          <w:szCs w:val="17"/>
        </w:rPr>
      </w:pPr>
      <w:r>
        <w:rPr>
          <w:b/>
          <w:sz w:val="22"/>
          <w:szCs w:val="17"/>
        </w:rPr>
        <w:t>Party A: Enron North America Corp.</w:t>
      </w:r>
    </w:p>
    <w:p>
      <w:pPr>
        <w:pStyle w:val="Normal"/>
        <w:keepNext w:val="true"/>
        <w:jc w:val="center"/>
        <w:rPr>
          <w:b/>
          <w:color w:val="FF0000"/>
          <w:sz w:val="22"/>
          <w:szCs w:val="17"/>
        </w:rPr>
      </w:pPr>
      <w:r>
        <w:rPr>
          <w:b/>
          <w:sz w:val="22"/>
          <w:szCs w:val="17"/>
        </w:rPr>
        <w:t>Party B:  Credit Suisse First Boston, London Branch</w:t>
      </w:r>
    </w:p>
    <w:p>
      <w:pPr>
        <w:pStyle w:val="Normal"/>
        <w:keepNext w:val="true"/>
        <w:jc w:val="center"/>
        <w:rPr>
          <w:b/>
          <w:color w:val="FF0000"/>
          <w:sz w:val="22"/>
          <w:szCs w:val="17"/>
        </w:rPr>
      </w:pPr>
      <w:r>
        <w:rPr>
          <w:b/>
          <w:color w:val="FF0000"/>
          <w:sz w:val="22"/>
          <w:szCs w:val="17"/>
        </w:rPr>
      </w:r>
    </w:p>
    <w:p>
      <w:pPr>
        <w:pStyle w:val="Normal"/>
        <w:tabs>
          <w:tab w:val="left" w:pos="720" w:leader="none"/>
          <w:tab w:val="left" w:pos="1170" w:leader="none"/>
        </w:tabs>
        <w:spacing w:lineRule="exact" w:line="480"/>
        <w:jc w:val="both"/>
        <w:rPr>
          <w:b/>
          <w:sz w:val="22"/>
          <w:szCs w:val="17"/>
        </w:rPr>
      </w:pPr>
      <w:r>
        <w:rPr>
          <w:b/>
          <w:sz w:val="22"/>
          <w:szCs w:val="17"/>
        </w:rPr>
        <w:t>I.</w:t>
        <w:tab/>
        <w:t>Tax Representations.</w:t>
      </w:r>
    </w:p>
    <w:p>
      <w:pPr>
        <w:pStyle w:val="Normal"/>
        <w:spacing w:lineRule="exact" w:line="240" w:before="240" w:after="0"/>
        <w:ind w:hanging="720" w:start="720" w:end="0"/>
        <w:jc w:val="both"/>
        <w:rPr/>
      </w:pPr>
      <w:r>
        <w:rPr>
          <w:b/>
          <w:sz w:val="22"/>
          <w:szCs w:val="17"/>
        </w:rPr>
        <w:t>(a)</w:t>
        <w:tab/>
        <w:t xml:space="preserve">Payer Representations.  </w:t>
      </w:r>
      <w:r>
        <w:rPr>
          <w:sz w:val="22"/>
          <w:szCs w:val="17"/>
        </w:rPr>
        <w:t>For the purpose of Section 3(e) of the ISDA Agreement, Party A and Party B make the following representation:</w:t>
      </w:r>
    </w:p>
    <w:p>
      <w:pPr>
        <w:pStyle w:val="Normal"/>
        <w:spacing w:lineRule="exact" w:line="240" w:before="240" w:after="0"/>
        <w:ind w:start="720" w:end="0"/>
        <w:jc w:val="both"/>
        <w:rPr/>
      </w:pPr>
      <w:r>
        <w:rPr>
          <w:sz w:val="22"/>
          <w:szCs w:val="17"/>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2"/>
          <w:szCs w:val="17"/>
        </w:rPr>
        <w:t>provided</w:t>
      </w:r>
      <w:r>
        <w:rPr>
          <w:sz w:val="22"/>
          <w:szCs w:val="17"/>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sz w:val="22"/>
          <w:szCs w:val="17"/>
        </w:rPr>
        <w:t>(b)</w:t>
        <w:tab/>
        <w:t>Payee Representations.</w:t>
      </w:r>
      <w:r>
        <w:rPr>
          <w:sz w:val="22"/>
          <w:szCs w:val="17"/>
        </w:rPr>
        <w:t xml:space="preserve">  For the purpose of Section 3(f) of the ISDA Agreement, Party A and Party B make the following representation:</w:t>
      </w:r>
    </w:p>
    <w:p>
      <w:pPr>
        <w:pStyle w:val="Normal"/>
        <w:spacing w:lineRule="exact" w:line="240" w:before="240" w:after="0"/>
        <w:ind w:hanging="720" w:start="900" w:end="0"/>
        <w:jc w:val="both"/>
        <w:rPr>
          <w:sz w:val="22"/>
          <w:szCs w:val="17"/>
        </w:rPr>
      </w:pPr>
      <w:r>
        <w:rPr>
          <w:sz w:val="22"/>
          <w:szCs w:val="17"/>
        </w:rPr>
        <w:t>(i)</w:t>
        <w:tab/>
        <w:t>The following representation applies to Party A:</w:t>
      </w:r>
    </w:p>
    <w:p>
      <w:pPr>
        <w:pStyle w:val="Normal"/>
        <w:spacing w:lineRule="exact" w:line="240" w:before="240" w:after="0"/>
        <w:ind w:start="900" w:end="0"/>
        <w:jc w:val="both"/>
        <w:rPr>
          <w:sz w:val="22"/>
          <w:szCs w:val="17"/>
        </w:rPr>
      </w:pPr>
      <w:r>
        <w:rPr>
          <w:sz w:val="22"/>
          <w:szCs w:val="17"/>
        </w:rPr>
        <w:t>Party A is a corporation organized under the law of the State of Delaware.</w:t>
      </w:r>
    </w:p>
    <w:p>
      <w:pPr>
        <w:pStyle w:val="Normal"/>
        <w:spacing w:lineRule="exact" w:line="240" w:before="240" w:after="0"/>
        <w:ind w:hanging="720" w:start="900" w:end="0"/>
        <w:jc w:val="both"/>
        <w:rPr>
          <w:sz w:val="22"/>
          <w:szCs w:val="17"/>
        </w:rPr>
      </w:pPr>
      <w:r>
        <w:rPr>
          <w:sz w:val="22"/>
          <w:szCs w:val="17"/>
        </w:rPr>
        <w:t>(ii)</w:t>
        <w:tab/>
        <w:t>The following representation applies to Party B:</w:t>
      </w:r>
    </w:p>
    <w:p>
      <w:pPr>
        <w:pStyle w:val="Normal"/>
        <w:spacing w:lineRule="exact" w:line="240" w:before="240" w:after="0"/>
        <w:ind w:start="900" w:end="0"/>
        <w:jc w:val="both"/>
        <w:rPr>
          <w:sz w:val="22"/>
          <w:szCs w:val="17"/>
        </w:rPr>
      </w:pPr>
      <w:r>
        <w:rPr>
          <w:sz w:val="22"/>
          <w:szCs w:val="17"/>
        </w:rPr>
        <w:t>Party B is a bank incorporated in Switzerland.</w:t>
      </w:r>
    </w:p>
    <w:p>
      <w:pPr>
        <w:pStyle w:val="Normal"/>
        <w:tabs>
          <w:tab w:val="clear" w:pos="720"/>
          <w:tab w:val="left" w:pos="1080" w:leader="none"/>
        </w:tabs>
        <w:spacing w:lineRule="exact" w:line="480"/>
        <w:jc w:val="both"/>
        <w:rPr>
          <w:b/>
          <w:sz w:val="22"/>
          <w:szCs w:val="17"/>
        </w:rPr>
      </w:pPr>
      <w:r>
        <w:rPr>
          <w:b/>
          <w:sz w:val="22"/>
          <w:szCs w:val="17"/>
        </w:rPr>
        <w:t>II.</w:t>
        <w:tab/>
        <w:t>Agreement to Deliver Documents</w:t>
      </w:r>
    </w:p>
    <w:p>
      <w:pPr>
        <w:pStyle w:val="BodyText"/>
        <w:spacing w:lineRule="exact" w:line="240" w:before="240" w:after="0"/>
        <w:rPr>
          <w:sz w:val="22"/>
          <w:szCs w:val="17"/>
        </w:rPr>
      </w:pPr>
      <w:r>
        <w:rPr>
          <w:sz w:val="22"/>
          <w:szCs w:val="17"/>
        </w:rPr>
        <w:t>For the purpose of Section 4(a) of the ISDA Agreement, the Tax forms, documents, or certificates to be delivered are:</w:t>
      </w:r>
    </w:p>
    <w:p>
      <w:pPr>
        <w:pStyle w:val="Normal"/>
        <w:spacing w:lineRule="exact" w:line="240" w:before="240" w:after="0"/>
        <w:ind w:hanging="720" w:start="1440" w:end="0"/>
        <w:jc w:val="both"/>
        <w:rPr>
          <w:sz w:val="22"/>
          <w:szCs w:val="17"/>
        </w:rPr>
      </w:pPr>
      <w:r>
        <w:rPr>
          <w:sz w:val="22"/>
          <w:szCs w:val="17"/>
        </w:rPr>
        <w:t>(a)</w:t>
        <w:tab/>
        <w:t>Party B agrees to complete (accurately and in a manner reasonably satisfactory to Party A), execute, and deliver to Party A a United States Internal Revenue Form W-9 before the first Scheduled Payment Date,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sz w:val="22"/>
          <w:szCs w:val="17"/>
        </w:rPr>
      </w:pPr>
      <w:r>
        <w:rPr>
          <w:b/>
          <w:sz w:val="22"/>
          <w:szCs w:val="17"/>
        </w:rPr>
      </w:r>
    </w:p>
    <w:p>
      <w:pPr>
        <w:pStyle w:val="Normal"/>
        <w:spacing w:lineRule="exact" w:line="240"/>
        <w:jc w:val="both"/>
        <w:rPr/>
      </w:pPr>
      <w:r>
        <w:rPr>
          <w:b/>
          <w:sz w:val="22"/>
          <w:szCs w:val="17"/>
        </w:rPr>
        <w:t>III.</w:t>
        <w:tab/>
        <w:t xml:space="preserve">Definitions. </w:t>
      </w:r>
      <w:r>
        <w:rPr>
          <w:sz w:val="22"/>
          <w:szCs w:val="17"/>
        </w:rPr>
        <w:t xml:space="preserve">  Capitalized terms not otherwise defined in this Annex A shall have the meaning set forth in this Confirmation or the ISDA Agreement.</w:t>
      </w:r>
    </w:p>
    <w:sectPr>
      <w:headerReference w:type="default" r:id="rId6"/>
      <w:headerReference w:type="first" r:id="rId7"/>
      <w:footerReference w:type="default" r:id="rId8"/>
      <w:footerReference w:type="first" r:id="rId9"/>
      <w:type w:val="nextPage"/>
      <w:pgSz w:w="12240" w:h="15840"/>
      <w:pgMar w:left="1440" w:right="1440" w:gutter="0" w:header="720" w:top="90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szCs w:val="15"/>
      </w:rPr>
    </w:pPr>
    <w:r>
      <w:rPr>
        <w:sz w:val="15"/>
        <w:szCs w:val="15"/>
      </w:rPr>
      <w:fldChar w:fldCharType="begin"/>
    </w:r>
    <w:r>
      <w:rPr>
        <w:sz w:val="15"/>
        <w:szCs w:val="15"/>
      </w:rPr>
      <w:instrText xml:space="preserve"> FILENAME \p </w:instrText>
    </w:r>
    <w:r>
      <w:rPr>
        <w:sz w:val="15"/>
        <w:szCs w:val="15"/>
      </w:rPr>
      <w:fldChar w:fldCharType="separate"/>
    </w:r>
    <w:r>
      <w:rPr>
        <w:sz w:val="15"/>
        <w:szCs w:val="15"/>
      </w:rPr>
      <w:t>/mnt/main-storage/datasets/enron-docs/doc/030conf_CSFB_.doc</w:t>
    </w:r>
    <w:r>
      <w:rPr>
        <w:sz w:val="15"/>
        <w:szCs w:val="15"/>
      </w:rPr>
      <w:fldChar w:fldCharType="end"/>
    </w:r>
  </w:p>
  <w:p>
    <w:pPr>
      <w:pStyle w:val="Footer"/>
      <w:jc w:val="center"/>
      <w:rPr>
        <w:sz w:val="15"/>
        <w:szCs w:val="15"/>
      </w:rPr>
    </w:pPr>
    <w:r>
      <w:rPr>
        <w:sz w:val="15"/>
        <w:szCs w:val="15"/>
      </w:rPr>
      <w:t xml:space="preserve">Page </w:t>
    </w:r>
    <w:r>
      <w:rPr>
        <w:sz w:val="15"/>
        <w:szCs w:val="15"/>
      </w:rPr>
      <w:fldChar w:fldCharType="begin"/>
    </w:r>
    <w:r>
      <w:rPr>
        <w:sz w:val="15"/>
        <w:szCs w:val="15"/>
      </w:rPr>
      <w:instrText xml:space="preserve"> PAGE </w:instrText>
    </w:r>
    <w:r>
      <w:rPr>
        <w:sz w:val="15"/>
        <w:szCs w:val="15"/>
      </w:rPr>
      <w:fldChar w:fldCharType="separate"/>
    </w:r>
    <w:r>
      <w:rPr>
        <w:sz w:val="15"/>
        <w:szCs w:val="15"/>
      </w:rPr>
      <w:t>5</w:t>
    </w:r>
    <w:r>
      <w:rPr>
        <w:sz w:val="15"/>
        <w:szCs w:val="15"/>
      </w:rPr>
      <w:fldChar w:fldCharType="end"/>
    </w:r>
  </w:p>
  <w:p>
    <w:pPr>
      <w:pStyle w:val="Normal"/>
      <w:jc w:val="center"/>
      <w:rPr>
        <w:sz w:val="17"/>
        <w:szCs w:val="17"/>
      </w:rPr>
    </w:pPr>
    <w:r>
      <w:rPr>
        <w:sz w:val="17"/>
        <w:szCs w:val="17"/>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szCs w:val="14"/>
      </w:rPr>
    </w:pPr>
    <w:r>
      <w:rPr>
        <w:rStyle w:val="PageNumber"/>
        <w:sz w:val="14"/>
        <w:szCs w:val="14"/>
      </w:rPr>
      <w:fldChar w:fldCharType="begin"/>
    </w:r>
    <w:r>
      <w:rPr>
        <w:rStyle w:val="PageNumber"/>
        <w:sz w:val="14"/>
        <w:szCs w:val="14"/>
      </w:rPr>
      <w:instrText xml:space="preserve"> FILENAME \p </w:instrText>
    </w:r>
    <w:r>
      <w:rPr>
        <w:rStyle w:val="PageNumber"/>
        <w:sz w:val="14"/>
        <w:szCs w:val="14"/>
      </w:rPr>
      <w:fldChar w:fldCharType="separate"/>
    </w:r>
    <w:r>
      <w:rPr>
        <w:rStyle w:val="PageNumber"/>
        <w:sz w:val="14"/>
        <w:szCs w:val="14"/>
      </w:rPr>
      <w:t>/mnt/main-storage/datasets/enron-docs/doc/030conf_CSFB_.doc</w:t>
    </w:r>
    <w:r>
      <w:rPr>
        <w:rStyle w:val="PageNumber"/>
        <w:sz w:val="14"/>
        <w:szCs w:val="14"/>
      </w:rPr>
      <w:fldChar w:fldCharType="end"/>
    </w:r>
  </w:p>
  <w:p>
    <w:pPr>
      <w:pStyle w:val="Footer"/>
      <w:rPr>
        <w:rStyle w:val="PageNumber"/>
        <w:sz w:val="14"/>
        <w:szCs w:val="14"/>
      </w:rPr>
    </w:pPr>
    <w:r>
      <w:rPr/>
    </w:r>
  </w:p>
  <w:p>
    <w:pPr>
      <w:pStyle w:val="Footer"/>
      <w:jc w:val="center"/>
      <w:rPr/>
    </w:pP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1</w:t>
    </w:r>
    <w:r>
      <w:rPr>
        <w:rStyle w:val="PageNumber"/>
        <w:sz w:val="15"/>
        <w:szCs w:val="15"/>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szCs w:val="15"/>
      </w:rPr>
    </w:pPr>
    <w:r>
      <w:rPr>
        <w:sz w:val="15"/>
        <w:szCs w:val="15"/>
      </w:rPr>
      <w:fldChar w:fldCharType="begin"/>
    </w:r>
    <w:r>
      <w:rPr>
        <w:sz w:val="15"/>
        <w:szCs w:val="15"/>
      </w:rPr>
      <w:instrText xml:space="preserve"> FILENAME \p </w:instrText>
    </w:r>
    <w:r>
      <w:rPr>
        <w:sz w:val="15"/>
        <w:szCs w:val="15"/>
      </w:rPr>
      <w:fldChar w:fldCharType="separate"/>
    </w:r>
    <w:r>
      <w:rPr>
        <w:sz w:val="15"/>
        <w:szCs w:val="15"/>
      </w:rPr>
      <w:t>/mnt/main-storage/datasets/enron-docs/doc/030conf_CSFB_.doc</w:t>
    </w:r>
    <w:r>
      <w:rPr>
        <w:sz w:val="15"/>
        <w:szCs w:val="15"/>
      </w:rPr>
      <w:fldChar w:fldCharType="end"/>
    </w:r>
  </w:p>
  <w:p>
    <w:pPr>
      <w:pStyle w:val="Footer"/>
      <w:jc w:val="center"/>
      <w:rPr/>
    </w:pPr>
    <w:r>
      <w:rPr>
        <w:sz w:val="15"/>
        <w:szCs w:val="15"/>
      </w:rPr>
      <w:t xml:space="preserve">Page </w:t>
    </w:r>
    <w:r>
      <w:rPr>
        <w:sz w:val="15"/>
        <w:szCs w:val="15"/>
      </w:rPr>
      <w:fldChar w:fldCharType="begin"/>
    </w:r>
    <w:r>
      <w:rPr>
        <w:sz w:val="15"/>
        <w:szCs w:val="15"/>
      </w:rPr>
      <w:instrText xml:space="preserve"> PAGE </w:instrText>
    </w:r>
    <w:r>
      <w:rPr>
        <w:sz w:val="15"/>
        <w:szCs w:val="15"/>
      </w:rPr>
      <w:fldChar w:fldCharType="separate"/>
    </w:r>
    <w:r>
      <w:rPr>
        <w:sz w:val="15"/>
        <w:szCs w:val="15"/>
      </w:rPr>
      <w:t>1</w:t>
    </w:r>
    <w:r>
      <w:rPr>
        <w:sz w:val="15"/>
        <w:szCs w:val="15"/>
      </w:rPr>
      <w:fldChar w:fldCharType="end"/>
    </w:r>
  </w:p>
  <w:p>
    <w:pPr>
      <w:pStyle w:val="Normal"/>
      <w:jc w:val="center"/>
      <w:rPr>
        <w:sz w:val="17"/>
        <w:szCs w:val="17"/>
      </w:rPr>
    </w:pPr>
    <w:r>
      <w:rPr>
        <w:sz w:val="17"/>
        <w:szCs w:val="17"/>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18"/>
      </w:rPr>
    </w:pPr>
    <w:r>
      <w:rPr>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2001-10-17T16:50:00Z</dcterms:created>
  <dc:creator>mheard</dc:creator>
  <dc:description/>
  <dc:language>en-CA</dc:language>
  <cp:lastModifiedBy>mheard</cp:lastModifiedBy>
  <cp:lastPrinted>2001-10-17T16:32:00Z</cp:lastPrinted>
  <dcterms:modified xsi:type="dcterms:W3CDTF">2001-10-17T19:02:00Z</dcterms:modified>
  <cp:revision>5</cp:revision>
  <dc:subject/>
  <dc:title>“DEEMED ISDA” CONFIRMATION</dc:title>
</cp:coreProperties>
</file>