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HELVETICA" w:hAnsi="Arial; HELVETICA" w:cs="Arial; HELVETICA"/>
          <w:b/>
          <w:sz w:val="24"/>
          <w:lang w:eastAsia="en-US"/>
        </w:rPr>
      </w:pPr>
      <w:r>
        <w:rPr>
          <w:rFonts w:cs="Arial; HELVETICA" w:ascii="Arial; HELVETICA" w:hAnsi="Arial; HELVETICA"/>
          <w:b/>
          <w:sz w:val="24"/>
          <w:lang w:eastAsia="en-US"/>
        </w:rPr>
        <w:t>ISO Market Participants:</w:t>
      </w:r>
    </w:p>
    <w:p>
      <w:pPr>
        <w:pStyle w:val="Normal"/>
        <w:ind w:start="864" w:end="0"/>
        <w:jc w:val="both"/>
        <w:rPr>
          <w:rFonts w:ascii="Arial; HELVETICA" w:hAnsi="Arial; HELVETICA" w:cs="Arial; HELVETICA"/>
          <w:b/>
          <w:sz w:val="26"/>
          <w:lang w:eastAsia="en-US"/>
        </w:rPr>
      </w:pPr>
      <w:r>
        <w:rPr>
          <w:rFonts w:cs="Arial; HELVETICA" w:ascii="Arial; HELVETICA" w:hAnsi="Arial; HELVETICA"/>
          <w:b/>
          <w:sz w:val="26"/>
          <w:lang w:eastAsia="en-US"/>
        </w:rPr>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t>On March 7, 2001, the ISO distributed funds from the March 5 market settlement of the December 2000 preliminary invoice.  The ISO distributed a total of $45,779,567.97, of which $352,693.64 was applied to outstanding November balances, and $45,426,874.33 was applied to December balances, as shown below.   Total amounts payable to Market Participants related to the December preliminary invoice were $1,490,781,469.67.  Accordingly, the preliminary pay-out ratio for December was 3.05%, and the cumulative November pay-out was 24.22%.</w:t>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rPr/>
      </w:pPr>
      <w:r>
        <w:rPr>
          <w:rFonts w:cs="Arial; HELVETICA" w:ascii="Arial; HELVETICA" w:hAnsi="Arial; HELVETICA"/>
          <w:sz w:val="24"/>
          <w:lang w:eastAsia="en-US"/>
        </w:rPr>
        <w:t xml:space="preserve">Additionally, the ISO received $171,116,114.43 ($177 million less GMC obligation) directly from PG&amp;E.  PG&amp;E indicated the funds were to be applied in payment of California Power Exchange ("Cal PX") obligations.  The ISO has been contacted by the Cal PX, and they have indicated they believe they are entitled to such funds and that such funds are subject to a pending action in federal court entitled </w:t>
      </w:r>
      <w:r>
        <w:rPr>
          <w:rFonts w:cs="Arial; HELVETICA" w:ascii="Arial; HELVETICA" w:hAnsi="Arial; HELVETICA"/>
          <w:sz w:val="24"/>
          <w:u w:val="single"/>
          <w:lang w:eastAsia="en-US"/>
        </w:rPr>
        <w:t>"Enron Power Marketing, Inc. and Enron Corp. v. California Power Exchange Corporation"</w:t>
      </w:r>
      <w:r>
        <w:rPr>
          <w:rFonts w:cs="Arial; HELVETICA" w:ascii="Arial; HELVETICA" w:hAnsi="Arial; HELVETICA"/>
          <w:sz w:val="24"/>
          <w:lang w:eastAsia="en-US"/>
        </w:rPr>
        <w:t>, Case No. 01-00901CM (Central District of  California.  The Cal PX has indicated they plan to seek an order within the next 7-10 days with the Court to have the funds transferred to the Cal PX for deposit into an escrow account pursuant to Judge Moreno's Preliminary Injunction.   These funds are being held by the ISO in a segregated interest bearing account pending resolution of this issue by that court.</w:t>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t xml:space="preserve">Payments were made in accordance with ISO Tariff Section 11 and Settlements and Billing Protocol ("SABP") Section 6. </w:t>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t>The following table provides an overview of the cash settlement:</w:t>
      </w:r>
      <w:r>
        <w:br w:type="page"/>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ind w:start="864" w:end="0"/>
        <w:jc w:val="both"/>
        <w:rPr>
          <w:rFonts w:ascii="Arial; HELVETICA" w:hAnsi="Arial; HELVETICA" w:cs="Arial; HELVETICA"/>
          <w:sz w:val="24"/>
          <w:lang w:eastAsia="en-US"/>
        </w:rPr>
      </w:pPr>
      <w:r>
        <w:rPr>
          <w:rFonts w:cs="Arial; HELVETICA" w:ascii="Arial; HELVETICA" w:hAnsi="Arial; HELVETICA"/>
          <w:sz w:val="24"/>
          <w:lang w:eastAsia="en-US"/>
        </w:rPr>
      </w:r>
    </w:p>
    <w:tbl>
      <w:tblPr>
        <w:tblW w:w="8580" w:type="dxa"/>
        <w:jc w:val="start"/>
        <w:tblInd w:w="0" w:type="dxa"/>
        <w:tblLayout w:type="fixed"/>
        <w:tblCellMar>
          <w:top w:w="0" w:type="dxa"/>
          <w:start w:w="30" w:type="dxa"/>
          <w:bottom w:w="0" w:type="dxa"/>
          <w:end w:w="30" w:type="dxa"/>
        </w:tblCellMar>
      </w:tblPr>
      <w:tblGrid>
        <w:gridCol w:w="3634"/>
        <w:gridCol w:w="1565"/>
        <w:gridCol w:w="1692"/>
        <w:gridCol w:w="137"/>
        <w:gridCol w:w="1552"/>
      </w:tblGrid>
      <w:tr>
        <w:trPr>
          <w:trHeight w:val="254" w:hRule="atLeast"/>
        </w:trPr>
        <w:tc>
          <w:tcPr>
            <w:tcW w:w="3634" w:type="dxa"/>
            <w:tcBorders>
              <w:top w:val="single" w:sz="12" w:space="0" w:color="000000"/>
              <w:start w:val="single" w:sz="12" w:space="0" w:color="000000"/>
            </w:tcBorders>
            <w:shd w:fill="000000" w:val="clear"/>
          </w:tcPr>
          <w:p>
            <w:pPr>
              <w:pStyle w:val="Normal"/>
              <w:rPr>
                <w:rFonts w:ascii="Arial Narrow" w:hAnsi="Arial Narrow" w:cs="Arial Narrow"/>
                <w:b/>
                <w:color w:val="FFFFFF"/>
                <w:lang w:eastAsia="en-US"/>
              </w:rPr>
            </w:pPr>
            <w:r>
              <w:rPr>
                <w:rFonts w:cs="Arial Narrow" w:ascii="Arial Narrow" w:hAnsi="Arial Narrow"/>
                <w:b/>
                <w:color w:val="FFFFFF"/>
                <w:lang w:eastAsia="en-US"/>
              </w:rPr>
              <w:t>----See Footnotes Which Follow----</w:t>
            </w:r>
          </w:p>
        </w:tc>
        <w:tc>
          <w:tcPr>
            <w:tcW w:w="1565" w:type="dxa"/>
            <w:tcBorders>
              <w:top w:val="single" w:sz="12" w:space="0" w:color="000000"/>
            </w:tcBorders>
            <w:shd w:fill="000000" w:val="clear"/>
          </w:tcPr>
          <w:p>
            <w:pPr>
              <w:pStyle w:val="Normal"/>
              <w:jc w:val="center"/>
              <w:rPr>
                <w:rFonts w:ascii="Arial Narrow" w:hAnsi="Arial Narrow" w:cs="Arial Narrow"/>
                <w:b/>
                <w:color w:val="FFFFFF"/>
                <w:lang w:eastAsia="en-US"/>
              </w:rPr>
            </w:pPr>
            <w:r>
              <w:rPr>
                <w:rFonts w:cs="Arial Narrow" w:ascii="Arial Narrow" w:hAnsi="Arial Narrow"/>
                <w:b/>
                <w:color w:val="FFFFFF"/>
                <w:lang w:eastAsia="en-US"/>
              </w:rPr>
              <w:t>Amount Owed</w:t>
            </w:r>
          </w:p>
        </w:tc>
        <w:tc>
          <w:tcPr>
            <w:tcW w:w="1692" w:type="dxa"/>
            <w:tcBorders>
              <w:top w:val="single" w:sz="12" w:space="0" w:color="000000"/>
            </w:tcBorders>
            <w:shd w:fill="000000" w:val="clear"/>
          </w:tcPr>
          <w:p>
            <w:pPr>
              <w:pStyle w:val="Normal"/>
              <w:jc w:val="center"/>
              <w:rPr>
                <w:rFonts w:ascii="Arial Narrow" w:hAnsi="Arial Narrow" w:cs="Arial Narrow"/>
                <w:b/>
                <w:color w:val="FFFFFF"/>
                <w:lang w:eastAsia="en-US"/>
              </w:rPr>
            </w:pPr>
            <w:r>
              <w:rPr>
                <w:rFonts w:cs="Arial Narrow" w:ascii="Arial Narrow" w:hAnsi="Arial Narrow"/>
                <w:b/>
                <w:color w:val="FFFFFF"/>
                <w:lang w:eastAsia="en-US"/>
              </w:rPr>
              <w:t>Amount Paid to ISO</w:t>
            </w:r>
          </w:p>
        </w:tc>
        <w:tc>
          <w:tcPr>
            <w:tcW w:w="1689" w:type="dxa"/>
            <w:gridSpan w:val="2"/>
            <w:tcBorders>
              <w:top w:val="single" w:sz="12" w:space="0" w:color="000000"/>
              <w:end w:val="single" w:sz="12" w:space="0" w:color="000000"/>
            </w:tcBorders>
            <w:shd w:fill="000000" w:val="clear"/>
          </w:tcPr>
          <w:p>
            <w:pPr>
              <w:pStyle w:val="Normal"/>
              <w:jc w:val="center"/>
              <w:rPr>
                <w:rFonts w:ascii="Arial Narrow" w:hAnsi="Arial Narrow" w:cs="Arial Narrow"/>
                <w:b/>
                <w:color w:val="FFFFFF"/>
                <w:lang w:eastAsia="en-US"/>
              </w:rPr>
            </w:pPr>
            <w:r>
              <w:rPr>
                <w:rFonts w:cs="Arial Narrow" w:ascii="Arial Narrow" w:hAnsi="Arial Narrow"/>
                <w:b/>
                <w:color w:val="FFFFFF"/>
                <w:lang w:eastAsia="en-US"/>
              </w:rPr>
              <w:t>Default</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cs="Arial Narrow" w:ascii="Arial Narrow" w:hAnsi="Arial Narrow"/>
                <w:lang w:eastAsia="en-US"/>
              </w:rPr>
              <w:t>Market Obligations:</w:t>
            </w:r>
          </w:p>
        </w:tc>
        <w:tc>
          <w:tcPr>
            <w:tcW w:w="1565"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92"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89" w:type="dxa"/>
            <w:gridSpan w:val="2"/>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California Power Exchange</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$1,442,285,801.01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$1,442,285,801.01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Pacific Gas &amp; Electric (also see note above)</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$13,103,456.51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$2,031,035.76</w:t>
              <w:br/>
              <w:t xml:space="preserve">($1,678,342.12 applied to December)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$11,425,114.39</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American Electric Power *</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$1,698,457.47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$602,777.42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$1,095,680.05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City of Santa Clara </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$31.56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$31.56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Edison Mission Marketing </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$21.34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$21.34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Illinova **</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$2,360,888.94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$2,360,888.94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Non Defaulting Parties: All Others</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$43,737,553.38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$43,737,553.38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cs="Arial Narrow" w:ascii="Arial Narrow" w:hAnsi="Arial Narrow"/>
                <w:lang w:eastAsia="en-US"/>
              </w:rPr>
              <w:t>Subtotal</w:t>
            </w:r>
          </w:p>
        </w:tc>
        <w:tc>
          <w:tcPr>
            <w:tcW w:w="1565" w:type="dxa"/>
            <w:tcBorders>
              <w:top w:val="single" w:sz="4"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$1,503,186,210.21 </w:t>
            </w:r>
          </w:p>
        </w:tc>
        <w:tc>
          <w:tcPr>
            <w:tcW w:w="1692" w:type="dxa"/>
            <w:tcBorders>
              <w:top w:val="single" w:sz="4"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$46,371,366.56 </w:t>
            </w:r>
          </w:p>
        </w:tc>
        <w:tc>
          <w:tcPr>
            <w:tcW w:w="1689" w:type="dxa"/>
            <w:gridSpan w:val="2"/>
            <w:tcBorders>
              <w:top w:val="single" w:sz="4" w:space="0" w:color="000000"/>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$1,457,167,537.29</w:t>
            </w:r>
          </w:p>
        </w:tc>
      </w:tr>
      <w:tr>
        <w:trPr>
          <w:trHeight w:val="254" w:hRule="atLeast"/>
        </w:trPr>
        <w:tc>
          <w:tcPr>
            <w:tcW w:w="3634" w:type="dxa"/>
            <w:tcBorders>
              <w:start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565"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92"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89" w:type="dxa"/>
            <w:gridSpan w:val="2"/>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cs="Arial Narrow" w:ascii="Arial Narrow" w:hAnsi="Arial Narrow"/>
                <w:lang w:eastAsia="en-US"/>
              </w:rPr>
              <w:t>Total Payable from ISO for December</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$1,490,781,469.67 </w:t>
            </w:r>
          </w:p>
        </w:tc>
        <w:tc>
          <w:tcPr>
            <w:tcW w:w="1692" w:type="dxa"/>
            <w:tcBorders/>
          </w:tcPr>
          <w:p>
            <w:pPr>
              <w:pStyle w:val="Normal"/>
              <w:snapToGrid w:val="false"/>
              <w:rPr>
                <w:rFonts w:ascii="Arial Narrow" w:hAnsi="Arial Narrow" w:cs="Arial Narrow"/>
                <w:lang w:eastAsia="en-US"/>
              </w:rPr>
            </w:pPr>
            <w:r>
              <w:rPr>
                <w:rFonts w:cs="Arial Narrow" w:ascii="Arial Narrow" w:hAnsi="Arial Narrow"/>
                <w:lang w:eastAsia="en-US"/>
              </w:rPr>
            </w:r>
          </w:p>
        </w:tc>
        <w:tc>
          <w:tcPr>
            <w:tcW w:w="1689" w:type="dxa"/>
            <w:gridSpan w:val="2"/>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cs="Arial Narrow" w:ascii="Arial Narrow" w:hAnsi="Arial Narrow"/>
                <w:lang w:eastAsia="en-US"/>
              </w:rPr>
              <w:t xml:space="preserve">Total Distributions by ISO Applied to December </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$45,426,874.33 </w:t>
            </w:r>
          </w:p>
        </w:tc>
        <w:tc>
          <w:tcPr>
            <w:tcW w:w="1692" w:type="dxa"/>
            <w:tcBorders/>
          </w:tcPr>
          <w:p>
            <w:pPr>
              <w:pStyle w:val="Normal"/>
              <w:rPr>
                <w:rFonts w:ascii="Arial Narrow" w:hAnsi="Arial Narrow" w:cs="Arial Narrow"/>
                <w:lang w:eastAsia="en-US"/>
              </w:rPr>
            </w:pPr>
            <w:r>
              <w:rPr>
                <w:rFonts w:cs="Arial Narrow" w:ascii="Arial Narrow" w:hAnsi="Arial Narrow"/>
                <w:lang w:eastAsia="en-US"/>
              </w:rPr>
              <w:t>&lt;--See Note 1</w:t>
            </w:r>
          </w:p>
        </w:tc>
        <w:tc>
          <w:tcPr>
            <w:tcW w:w="1689" w:type="dxa"/>
            <w:gridSpan w:val="2"/>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cs="Arial Narrow" w:ascii="Arial Narrow" w:hAnsi="Arial Narrow"/>
                <w:lang w:eastAsia="en-US"/>
              </w:rPr>
              <w:t>Pay-out Ratio</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3.05%</w:t>
            </w:r>
          </w:p>
        </w:tc>
        <w:tc>
          <w:tcPr>
            <w:tcW w:w="1692"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89" w:type="dxa"/>
            <w:gridSpan w:val="2"/>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3634" w:type="dxa"/>
            <w:tcBorders>
              <w:start w:val="single" w:sz="12" w:space="0" w:color="000000"/>
            </w:tcBorders>
          </w:tcPr>
          <w:p>
            <w:pPr>
              <w:pStyle w:val="Normal"/>
              <w:snapToGrid w:val="false"/>
              <w:rPr>
                <w:rFonts w:ascii="Arial Narrow" w:hAnsi="Arial Narrow" w:cs="Arial Narrow"/>
                <w:lang w:eastAsia="en-US"/>
              </w:rPr>
            </w:pPr>
            <w:r>
              <w:rPr>
                <w:rFonts w:cs="Arial Narrow" w:ascii="Arial Narrow" w:hAnsi="Arial Narrow"/>
                <w:lang w:eastAsia="en-US"/>
              </w:rPr>
            </w:r>
          </w:p>
        </w:tc>
        <w:tc>
          <w:tcPr>
            <w:tcW w:w="1565"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92"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89" w:type="dxa"/>
            <w:gridSpan w:val="2"/>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cs="Arial Narrow" w:ascii="Arial Narrow" w:hAnsi="Arial Narrow"/>
                <w:lang w:eastAsia="en-US"/>
              </w:rPr>
              <w:t xml:space="preserve">Outstanding Balance (net of GMC &amp; other </w:t>
              <w:br/>
              <w:t xml:space="preserve">    adjustments)</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$1,444,652,782.25</w:t>
            </w:r>
          </w:p>
        </w:tc>
        <w:tc>
          <w:tcPr>
            <w:tcW w:w="1692"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89" w:type="dxa"/>
            <w:gridSpan w:val="2"/>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3634" w:type="dxa"/>
            <w:tcBorders>
              <w:start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565"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92"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89" w:type="dxa"/>
            <w:gridSpan w:val="2"/>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7028" w:type="dxa"/>
            <w:gridSpan w:val="4"/>
            <w:tcBorders>
              <w:start w:val="single" w:sz="12" w:space="0" w:color="000000"/>
            </w:tcBorders>
          </w:tcPr>
          <w:p>
            <w:pPr>
              <w:pStyle w:val="Normal"/>
              <w:rPr>
                <w:rFonts w:ascii="Arial Narrow" w:hAnsi="Arial Narrow" w:cs="Arial Narrow"/>
                <w:lang w:eastAsia="en-US"/>
              </w:rPr>
            </w:pPr>
            <w:r>
              <w:rPr>
                <w:rFonts w:cs="Arial Narrow" w:ascii="Arial Narrow" w:hAnsi="Arial Narrow"/>
                <w:lang w:eastAsia="en-US"/>
              </w:rPr>
              <w:t>Grid Management Charge Obligations ("GMC"):</w:t>
            </w:r>
          </w:p>
        </w:tc>
        <w:tc>
          <w:tcPr>
            <w:tcW w:w="0" w:type="dxa"/>
            <w:vMerge w:val="continue"/>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0" w:type="dxa"/>
            <w:vMerge w:val="continue"/>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552" w:type="dxa"/>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Bonneville Power Administration </w:t>
            </w:r>
            <w:r>
              <w:rPr>
                <w:rFonts w:eastAsia="Symbol" w:cs="Symbol" w:ascii="Symbol" w:hAnsi="Symbol"/>
                <w:lang w:eastAsia="en-US"/>
              </w:rPr>
              <w:sym w:font="Symbol" w:char="f0ad"/>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$83.01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$83.01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British Columbia Power Exchange </w:t>
            </w:r>
            <w:r>
              <w:rPr>
                <w:rFonts w:eastAsia="Symbol" w:cs="Symbol" w:ascii="Symbol" w:hAnsi="Symbol"/>
                <w:lang w:eastAsia="en-US"/>
              </w:rPr>
              <w:sym w:font="Symbol" w:char="f0ad"/>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$278,212.68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$278,212.68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Dynegy  </w:t>
            </w:r>
            <w:r>
              <w:rPr>
                <w:rFonts w:eastAsia="Symbol" w:cs="Symbol" w:ascii="Symbol" w:hAnsi="Symbol"/>
                <w:lang w:eastAsia="en-US"/>
              </w:rPr>
              <w:sym w:font="Symbol" w:char="f0ad"/>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$35,963.06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$35,963.06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Illinova </w:t>
            </w:r>
            <w:r>
              <w:rPr>
                <w:rFonts w:eastAsia="Symbol" w:cs="Symbol" w:ascii="Symbol" w:hAnsi="Symbol"/>
                <w:lang w:eastAsia="en-US"/>
              </w:rPr>
              <w:sym w:font="Symbol" w:char="f0ad"/>
              <w:sym w:font="Symbol" w:char="f0ad"/>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$4,011.80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$4,011.80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New Energy </w:t>
            </w:r>
            <w:r>
              <w:rPr>
                <w:rFonts w:eastAsia="Symbol" w:cs="Symbol" w:ascii="Symbol" w:hAnsi="Symbol"/>
                <w:lang w:eastAsia="en-US"/>
              </w:rPr>
              <w:sym w:font="Symbol" w:char="f0ad"/>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$50,605.46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$50,605.46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Puget Sound </w:t>
            </w:r>
            <w:r>
              <w:rPr>
                <w:rFonts w:eastAsia="Symbol" w:cs="Symbol" w:ascii="Symbol" w:hAnsi="Symbol"/>
                <w:lang w:eastAsia="en-US"/>
              </w:rPr>
              <w:sym w:font="Symbol" w:char="f0ad"/>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$101,783.73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$101,783.73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Seattle City Power &amp; Light </w:t>
            </w:r>
            <w:r>
              <w:rPr>
                <w:rFonts w:eastAsia="Symbol" w:cs="Symbol" w:ascii="Symbol" w:hAnsi="Symbol"/>
                <w:lang w:eastAsia="en-US"/>
              </w:rPr>
              <w:sym w:font="Symbol" w:char="f0ad"/>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$7,116.22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$7,116.22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eastAsia="Arial Narrow" w:cs="Arial Narrow" w:ascii="Arial Narrow" w:hAnsi="Arial Narrow"/>
                <w:lang w:eastAsia="en-US"/>
              </w:rPr>
              <w:t xml:space="preserve">  </w:t>
            </w:r>
            <w:r>
              <w:rPr>
                <w:rFonts w:cs="Arial Narrow" w:ascii="Arial Narrow" w:hAnsi="Arial Narrow"/>
                <w:lang w:eastAsia="en-US"/>
              </w:rPr>
              <w:t xml:space="preserve">Southern California Edison </w:t>
            </w:r>
            <w:r>
              <w:rPr>
                <w:rFonts w:eastAsia="Symbol" w:cs="Symbol" w:ascii="Symbol" w:hAnsi="Symbol"/>
                <w:lang w:eastAsia="en-US"/>
              </w:rPr>
              <w:sym w:font="Symbol" w:char="f0ad"/>
              <w:sym w:font="Symbol" w:char="f0ad"/>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$114,022.63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$114,022.63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cs="Arial Narrow" w:ascii="Arial Narrow" w:hAnsi="Arial Narrow"/>
                <w:lang w:eastAsia="en-US"/>
              </w:rPr>
              <w:t>Non Defaulting Parties: All Others</w:t>
            </w:r>
          </w:p>
        </w:tc>
        <w:tc>
          <w:tcPr>
            <w:tcW w:w="1565" w:type="dxa"/>
            <w:tcBorders/>
          </w:tcPr>
          <w:p>
            <w:pPr>
              <w:pStyle w:val="Normal"/>
              <w:jc w:val="end"/>
              <w:rPr>
                <w:rFonts w:ascii="Arial Narrow" w:hAnsi="Arial Narrow" w:cs="Arial Narrow"/>
                <w:lang w:eastAsia="en-US"/>
              </w:rPr>
            </w:pPr>
            <w:r>
              <w:rPr>
                <w:rFonts w:cs="Arial Narrow" w:ascii="Arial Narrow" w:hAnsi="Arial Narrow"/>
                <w:lang w:eastAsia="en-US"/>
              </w:rPr>
              <w:t xml:space="preserve">$14,873,312.81 </w:t>
            </w:r>
          </w:p>
        </w:tc>
        <w:tc>
          <w:tcPr>
            <w:tcW w:w="1692" w:type="dxa"/>
            <w:tcBorders/>
          </w:tcPr>
          <w:p>
            <w:pPr>
              <w:pStyle w:val="Normal"/>
              <w:jc w:val="end"/>
              <w:rPr>
                <w:rFonts w:ascii="Arial Narrow" w:hAnsi="Arial Narrow" w:cs="Arial Narrow"/>
                <w:lang w:eastAsia="en-US"/>
              </w:rPr>
            </w:pPr>
            <w:r>
              <w:rPr>
                <w:rFonts w:cs="Arial Narrow" w:ascii="Arial Narrow" w:hAnsi="Arial Narrow"/>
                <w:lang w:eastAsia="en-US"/>
              </w:rPr>
              <w:t xml:space="preserve">$14,873,312.81 </w:t>
            </w:r>
          </w:p>
        </w:tc>
        <w:tc>
          <w:tcPr>
            <w:tcW w:w="1689" w:type="dxa"/>
            <w:gridSpan w:val="2"/>
            <w:tcBorders>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$0.00 </w:t>
            </w:r>
          </w:p>
        </w:tc>
      </w:tr>
      <w:tr>
        <w:trPr>
          <w:trHeight w:val="254" w:hRule="atLeast"/>
        </w:trPr>
        <w:tc>
          <w:tcPr>
            <w:tcW w:w="3634" w:type="dxa"/>
            <w:tcBorders>
              <w:start w:val="single" w:sz="12" w:space="0" w:color="000000"/>
            </w:tcBorders>
          </w:tcPr>
          <w:p>
            <w:pPr>
              <w:pStyle w:val="Normal"/>
              <w:rPr>
                <w:rFonts w:ascii="Arial Narrow" w:hAnsi="Arial Narrow" w:cs="Arial Narrow"/>
                <w:lang w:eastAsia="en-US"/>
              </w:rPr>
            </w:pPr>
            <w:r>
              <w:rPr>
                <w:rFonts w:cs="Arial Narrow" w:ascii="Arial Narrow" w:hAnsi="Arial Narrow"/>
                <w:lang w:eastAsia="en-US"/>
              </w:rPr>
              <w:t>Subtotal</w:t>
            </w:r>
          </w:p>
        </w:tc>
        <w:tc>
          <w:tcPr>
            <w:tcW w:w="1565" w:type="dxa"/>
            <w:tcBorders>
              <w:top w:val="single" w:sz="4"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$15,465,111.40 </w:t>
            </w:r>
          </w:p>
        </w:tc>
        <w:tc>
          <w:tcPr>
            <w:tcW w:w="1692" w:type="dxa"/>
            <w:tcBorders>
              <w:top w:val="single" w:sz="4"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$14,873,312.81 </w:t>
            </w:r>
          </w:p>
        </w:tc>
        <w:tc>
          <w:tcPr>
            <w:tcW w:w="1689" w:type="dxa"/>
            <w:gridSpan w:val="2"/>
            <w:tcBorders>
              <w:top w:val="single" w:sz="4" w:space="0" w:color="000000"/>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$591,798.59 </w:t>
            </w:r>
          </w:p>
        </w:tc>
      </w:tr>
      <w:tr>
        <w:trPr>
          <w:trHeight w:val="254" w:hRule="atLeast"/>
        </w:trPr>
        <w:tc>
          <w:tcPr>
            <w:tcW w:w="3634" w:type="dxa"/>
            <w:tcBorders>
              <w:start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565"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92" w:type="dxa"/>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c>
          <w:tcPr>
            <w:tcW w:w="1689" w:type="dxa"/>
            <w:gridSpan w:val="2"/>
            <w:tcBorders>
              <w:end w:val="single" w:sz="12" w:space="0" w:color="000000"/>
            </w:tcBorders>
          </w:tcPr>
          <w:p>
            <w:pPr>
              <w:pStyle w:val="Normal"/>
              <w:snapToGrid w:val="false"/>
              <w:jc w:val="end"/>
              <w:rPr>
                <w:rFonts w:ascii="Arial Narrow" w:hAnsi="Arial Narrow" w:cs="Arial Narrow"/>
                <w:lang w:eastAsia="en-US"/>
              </w:rPr>
            </w:pPr>
            <w:r>
              <w:rPr>
                <w:rFonts w:cs="Arial Narrow" w:ascii="Arial Narrow" w:hAnsi="Arial Narrow"/>
                <w:lang w:eastAsia="en-US"/>
              </w:rPr>
            </w:r>
          </w:p>
        </w:tc>
      </w:tr>
      <w:tr>
        <w:trPr>
          <w:trHeight w:val="254" w:hRule="atLeast"/>
        </w:trPr>
        <w:tc>
          <w:tcPr>
            <w:tcW w:w="3634" w:type="dxa"/>
            <w:tcBorders>
              <w:start w:val="single" w:sz="12" w:space="0" w:color="000000"/>
              <w:bottom w:val="single" w:sz="12" w:space="0" w:color="000000"/>
            </w:tcBorders>
          </w:tcPr>
          <w:p>
            <w:pPr>
              <w:pStyle w:val="Normal"/>
              <w:rPr>
                <w:rFonts w:ascii="Arial Narrow" w:hAnsi="Arial Narrow" w:cs="Arial Narrow"/>
                <w:lang w:eastAsia="en-US"/>
              </w:rPr>
            </w:pPr>
            <w:r>
              <w:rPr>
                <w:rFonts w:cs="Arial Narrow" w:ascii="Arial Narrow" w:hAnsi="Arial Narrow"/>
                <w:lang w:eastAsia="en-US"/>
              </w:rPr>
              <w:t>Total, Market and GMC Receivable</w:t>
            </w:r>
          </w:p>
        </w:tc>
        <w:tc>
          <w:tcPr>
            <w:tcW w:w="1565" w:type="dxa"/>
            <w:tcBorders>
              <w:bottom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$1,518,651,321.61 </w:t>
            </w:r>
          </w:p>
        </w:tc>
        <w:tc>
          <w:tcPr>
            <w:tcW w:w="1692" w:type="dxa"/>
            <w:tcBorders>
              <w:bottom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 xml:space="preserve">$61,244,679.37 </w:t>
            </w:r>
          </w:p>
        </w:tc>
        <w:tc>
          <w:tcPr>
            <w:tcW w:w="1689" w:type="dxa"/>
            <w:gridSpan w:val="2"/>
            <w:tcBorders>
              <w:bottom w:val="single" w:sz="12" w:space="0" w:color="000000"/>
              <w:end w:val="single" w:sz="12" w:space="0" w:color="000000"/>
            </w:tcBorders>
          </w:tcPr>
          <w:p>
            <w:pPr>
              <w:pStyle w:val="Normal"/>
              <w:jc w:val="end"/>
              <w:rPr>
                <w:rFonts w:ascii="Arial Narrow" w:hAnsi="Arial Narrow" w:cs="Arial Narrow"/>
                <w:lang w:eastAsia="en-US"/>
              </w:rPr>
            </w:pPr>
            <w:r>
              <w:rPr>
                <w:rFonts w:cs="Arial Narrow" w:ascii="Arial Narrow" w:hAnsi="Arial Narrow"/>
                <w:lang w:eastAsia="en-US"/>
              </w:rPr>
              <w:t>$1,457,759,335.88</w:t>
            </w:r>
          </w:p>
        </w:tc>
      </w:tr>
    </w:tbl>
    <w:p>
      <w:pPr>
        <w:pStyle w:val="Normal"/>
        <w:ind w:start="864" w:end="0"/>
        <w:jc w:val="both"/>
        <w:rPr>
          <w:rFonts w:ascii="Arial; HELVETICA" w:hAnsi="Arial; HELVETICA" w:cs="Arial; HELVETICA"/>
          <w:sz w:val="24"/>
          <w:lang w:eastAsia="en-US"/>
        </w:rPr>
      </w:pPr>
      <w:r>
        <w:rPr>
          <w:rFonts w:cs="Arial; HELVETICA" w:ascii="Arial; HELVETICA" w:hAnsi="Arial; HELVETICA"/>
          <w:sz w:val="24"/>
          <w:lang w:eastAsia="en-US"/>
        </w:rPr>
      </w:r>
    </w:p>
    <w:tbl>
      <w:tblPr>
        <w:tblW w:w="8490" w:type="dxa"/>
        <w:jc w:val="start"/>
        <w:tblInd w:w="0" w:type="dxa"/>
        <w:tblLayout w:type="fixed"/>
        <w:tblCellMar>
          <w:top w:w="0" w:type="dxa"/>
          <w:start w:w="30" w:type="dxa"/>
          <w:bottom w:w="0" w:type="dxa"/>
          <w:end w:w="30" w:type="dxa"/>
        </w:tblCellMar>
      </w:tblPr>
      <w:tblGrid>
        <w:gridCol w:w="3540"/>
        <w:gridCol w:w="1980"/>
        <w:gridCol w:w="1620"/>
        <w:gridCol w:w="90"/>
        <w:gridCol w:w="1260"/>
      </w:tblGrid>
      <w:tr>
        <w:trPr>
          <w:trHeight w:val="88" w:hRule="atLeast"/>
        </w:trPr>
        <w:tc>
          <w:tcPr>
            <w:tcW w:w="3540" w:type="dxa"/>
            <w:tcBorders>
              <w:top w:val="single" w:sz="4" w:space="0" w:color="000000"/>
              <w:start w:val="single" w:sz="12" w:space="0" w:color="000000"/>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980" w:type="dxa"/>
            <w:tcBorders>
              <w:top w:val="single" w:sz="4" w:space="0" w:color="000000"/>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710" w:type="dxa"/>
            <w:gridSpan w:val="2"/>
            <w:tcBorders>
              <w:top w:val="single" w:sz="4" w:space="0" w:color="000000"/>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260" w:type="dxa"/>
            <w:tcBorders>
              <w:top w:val="single" w:sz="4" w:space="0" w:color="000000"/>
              <w:end w:val="single" w:sz="12" w:space="0" w:color="000000"/>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r>
      <w:tr>
        <w:trPr>
          <w:trHeight w:val="88" w:hRule="atLeast"/>
        </w:trPr>
        <w:tc>
          <w:tcPr>
            <w:tcW w:w="3540" w:type="dxa"/>
            <w:tcBorders>
              <w:start w:val="single" w:sz="12" w:space="0" w:color="000000"/>
            </w:tcBorders>
          </w:tcPr>
          <w:p>
            <w:pPr>
              <w:pStyle w:val="Normal"/>
              <w:rPr>
                <w:rFonts w:ascii="Arial; HELVETICA" w:hAnsi="Arial; HELVETICA" w:cs="Arial; HELVETICA"/>
                <w:b/>
                <w:lang w:eastAsia="en-US"/>
              </w:rPr>
            </w:pPr>
            <w:r>
              <w:rPr>
                <w:rFonts w:cs="Arial; HELVETICA" w:ascii="Arial; HELVETICA" w:hAnsi="Arial; HELVETICA"/>
                <w:b/>
                <w:lang w:eastAsia="en-US"/>
              </w:rPr>
              <w:t>Note 1:</w:t>
            </w:r>
          </w:p>
        </w:tc>
        <w:tc>
          <w:tcPr>
            <w:tcW w:w="1980" w:type="dxa"/>
            <w:tcBorders/>
          </w:tcPr>
          <w:p>
            <w:pPr>
              <w:pStyle w:val="Normal"/>
              <w:snapToGrid w:val="false"/>
              <w:jc w:val="end"/>
              <w:rPr>
                <w:rFonts w:ascii="Arial; HELVETICA" w:hAnsi="Arial; HELVETICA" w:cs="Arial; HELVETICA"/>
                <w:b/>
                <w:lang w:eastAsia="en-US"/>
              </w:rPr>
            </w:pPr>
            <w:r>
              <w:rPr>
                <w:rFonts w:cs="Arial; HELVETICA" w:ascii="Arial; HELVETICA" w:hAnsi="Arial; HELVETICA"/>
                <w:b/>
                <w:lang w:eastAsia="en-US"/>
              </w:rPr>
            </w:r>
          </w:p>
        </w:tc>
        <w:tc>
          <w:tcPr>
            <w:tcW w:w="1620" w:type="dxa"/>
            <w:tcBorders/>
          </w:tcPr>
          <w:p>
            <w:pPr>
              <w:pStyle w:val="Normal"/>
              <w:snapToGrid w:val="false"/>
              <w:jc w:val="end"/>
              <w:rPr>
                <w:rFonts w:ascii="Arial; HELVETICA" w:hAnsi="Arial; HELVETICA" w:cs="Arial; HELVETICA"/>
                <w:b/>
                <w:lang w:eastAsia="en-US"/>
              </w:rPr>
            </w:pPr>
            <w:r>
              <w:rPr>
                <w:rFonts w:cs="Arial; HELVETICA" w:ascii="Arial; HELVETICA" w:hAnsi="Arial; HELVETICA"/>
                <w:b/>
                <w:lang w:eastAsia="en-US"/>
              </w:rPr>
            </w:r>
          </w:p>
        </w:tc>
        <w:tc>
          <w:tcPr>
            <w:tcW w:w="1350" w:type="dxa"/>
            <w:gridSpan w:val="2"/>
            <w:tcBorders>
              <w:end w:val="single" w:sz="12" w:space="0" w:color="000000"/>
            </w:tcBorders>
          </w:tcPr>
          <w:p>
            <w:pPr>
              <w:pStyle w:val="Normal"/>
              <w:snapToGrid w:val="false"/>
              <w:jc w:val="end"/>
              <w:rPr>
                <w:rFonts w:ascii="Arial; HELVETICA" w:hAnsi="Arial; HELVETICA" w:cs="Arial; HELVETICA"/>
                <w:b/>
                <w:lang w:eastAsia="en-US"/>
              </w:rPr>
            </w:pPr>
            <w:r>
              <w:rPr>
                <w:rFonts w:cs="Arial; HELVETICA" w:ascii="Arial; HELVETICA" w:hAnsi="Arial; HELVETICA"/>
                <w:b/>
                <w:lang w:eastAsia="en-US"/>
              </w:rPr>
            </w:r>
          </w:p>
        </w:tc>
      </w:tr>
      <w:tr>
        <w:trPr>
          <w:trHeight w:val="88" w:hRule="atLeast"/>
        </w:trPr>
        <w:tc>
          <w:tcPr>
            <w:tcW w:w="3540" w:type="dxa"/>
            <w:tcBorders>
              <w:start w:val="single" w:sz="12" w:space="0" w:color="000000"/>
            </w:tcBorders>
          </w:tcPr>
          <w:p>
            <w:pPr>
              <w:pStyle w:val="Normal"/>
              <w:rPr>
                <w:rFonts w:ascii="Arial; HELVETICA" w:hAnsi="Arial; HELVETICA" w:cs="Arial; HELVETICA"/>
                <w:lang w:eastAsia="en-US"/>
              </w:rPr>
            </w:pPr>
            <w:r>
              <w:rPr>
                <w:rFonts w:eastAsia="Arial; HELVETICA" w:cs="Arial; HELVETICA" w:ascii="Arial; HELVETICA" w:hAnsi="Arial; HELVETICA"/>
                <w:lang w:eastAsia="en-US"/>
              </w:rPr>
              <w:t xml:space="preserve">  </w:t>
            </w:r>
            <w:r>
              <w:rPr>
                <w:rFonts w:cs="Arial; HELVETICA" w:ascii="Arial; HELVETICA" w:hAnsi="Arial; HELVETICA"/>
                <w:lang w:eastAsia="en-US"/>
              </w:rPr>
              <w:t>Collections (see above)</w:t>
            </w:r>
          </w:p>
        </w:tc>
        <w:tc>
          <w:tcPr>
            <w:tcW w:w="1980" w:type="dxa"/>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620" w:type="dxa"/>
            <w:tcBorders/>
          </w:tcPr>
          <w:p>
            <w:pPr>
              <w:pStyle w:val="Normal"/>
              <w:jc w:val="end"/>
              <w:rPr>
                <w:rFonts w:ascii="Arial; HELVETICA" w:hAnsi="Arial; HELVETICA" w:cs="Arial; HELVETICA"/>
                <w:color w:val="000000"/>
                <w:lang w:eastAsia="en-US"/>
              </w:rPr>
            </w:pPr>
            <w:r>
              <w:rPr>
                <w:rFonts w:cs="Arial; HELVETICA" w:ascii="Arial; HELVETICA" w:hAnsi="Arial; HELVETICA"/>
                <w:color w:val="000000"/>
                <w:lang w:eastAsia="en-US"/>
              </w:rPr>
              <w:t xml:space="preserve">$46,371,366.56 </w:t>
            </w:r>
          </w:p>
        </w:tc>
        <w:tc>
          <w:tcPr>
            <w:tcW w:w="1350" w:type="dxa"/>
            <w:gridSpan w:val="2"/>
            <w:tcBorders>
              <w:end w:val="single" w:sz="12"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r>
      <w:tr>
        <w:trPr>
          <w:trHeight w:val="88" w:hRule="atLeast"/>
        </w:trPr>
        <w:tc>
          <w:tcPr>
            <w:tcW w:w="5520" w:type="dxa"/>
            <w:gridSpan w:val="2"/>
            <w:tcBorders>
              <w:start w:val="single" w:sz="12" w:space="0" w:color="000000"/>
            </w:tcBorders>
          </w:tcPr>
          <w:p>
            <w:pPr>
              <w:pStyle w:val="Normal"/>
              <w:rPr>
                <w:rFonts w:ascii="Arial; HELVETICA" w:hAnsi="Arial; HELVETICA" w:cs="Arial; HELVETICA"/>
                <w:lang w:eastAsia="en-US"/>
              </w:rPr>
            </w:pPr>
            <w:r>
              <w:rPr>
                <w:rFonts w:eastAsia="Arial; HELVETICA" w:cs="Arial; HELVETICA" w:ascii="Arial; HELVETICA" w:hAnsi="Arial; HELVETICA"/>
                <w:lang w:eastAsia="en-US"/>
              </w:rPr>
              <w:t xml:space="preserve">  </w:t>
            </w:r>
            <w:r>
              <w:rPr>
                <w:rFonts w:cs="Arial; HELVETICA" w:ascii="Arial; HELVETICA" w:hAnsi="Arial; HELVETICA"/>
                <w:lang w:eastAsia="en-US"/>
              </w:rPr>
              <w:t>Less: GMC Shortfall collected from Market Funds</w:t>
            </w:r>
          </w:p>
        </w:tc>
        <w:tc>
          <w:tcPr>
            <w:tcW w:w="0" w:type="dxa"/>
            <w:vMerge w:val="continue"/>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620" w:type="dxa"/>
            <w:tcBorders/>
          </w:tcPr>
          <w:p>
            <w:pPr>
              <w:pStyle w:val="Normal"/>
              <w:jc w:val="end"/>
              <w:rPr>
                <w:rFonts w:ascii="Arial; HELVETICA" w:hAnsi="Arial; HELVETICA" w:cs="Arial; HELVETICA"/>
                <w:color w:val="000000"/>
                <w:lang w:eastAsia="en-US"/>
              </w:rPr>
            </w:pPr>
            <w:r>
              <w:rPr>
                <w:rFonts w:cs="Arial; HELVETICA" w:ascii="Arial; HELVETICA" w:hAnsi="Arial; HELVETICA"/>
                <w:color w:val="000000"/>
                <w:lang w:eastAsia="en-US"/>
              </w:rPr>
              <w:t>($591,798.59)</w:t>
            </w:r>
          </w:p>
        </w:tc>
        <w:tc>
          <w:tcPr>
            <w:tcW w:w="1350" w:type="dxa"/>
            <w:gridSpan w:val="2"/>
            <w:tcBorders>
              <w:end w:val="single" w:sz="12"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r>
      <w:tr>
        <w:trPr>
          <w:trHeight w:val="88" w:hRule="atLeast"/>
        </w:trPr>
        <w:tc>
          <w:tcPr>
            <w:tcW w:w="5520" w:type="dxa"/>
            <w:gridSpan w:val="2"/>
            <w:tcBorders>
              <w:start w:val="single" w:sz="12" w:space="0" w:color="000000"/>
            </w:tcBorders>
          </w:tcPr>
          <w:p>
            <w:pPr>
              <w:pStyle w:val="Normal"/>
              <w:rPr>
                <w:rFonts w:ascii="Arial; HELVETICA" w:hAnsi="Arial; HELVETICA" w:cs="Arial; HELVETICA"/>
                <w:lang w:eastAsia="en-US"/>
              </w:rPr>
            </w:pPr>
            <w:r>
              <w:rPr>
                <w:rFonts w:eastAsia="Arial; HELVETICA" w:cs="Arial; HELVETICA" w:ascii="Arial; HELVETICA" w:hAnsi="Arial; HELVETICA"/>
                <w:lang w:eastAsia="en-US"/>
              </w:rPr>
              <w:t xml:space="preserve">  </w:t>
            </w:r>
            <w:r>
              <w:rPr>
                <w:rFonts w:cs="Arial; HELVETICA" w:ascii="Arial; HELVETICA" w:hAnsi="Arial; HELVETICA"/>
                <w:lang w:eastAsia="en-US"/>
              </w:rPr>
              <w:t>Less: December collections applied to November Payables</w:t>
            </w:r>
          </w:p>
        </w:tc>
        <w:tc>
          <w:tcPr>
            <w:tcW w:w="0" w:type="dxa"/>
            <w:vMerge w:val="continue"/>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620" w:type="dxa"/>
            <w:tcBorders/>
          </w:tcPr>
          <w:p>
            <w:pPr>
              <w:pStyle w:val="Normal"/>
              <w:jc w:val="end"/>
              <w:rPr>
                <w:rFonts w:ascii="Arial; HELVETICA" w:hAnsi="Arial; HELVETICA" w:cs="Arial; HELVETICA"/>
                <w:color w:val="000000"/>
                <w:lang w:eastAsia="en-US"/>
              </w:rPr>
            </w:pPr>
            <w:r>
              <w:rPr>
                <w:rFonts w:cs="Arial; HELVETICA" w:ascii="Arial; HELVETICA" w:hAnsi="Arial; HELVETICA"/>
                <w:color w:val="000000"/>
                <w:lang w:eastAsia="en-US"/>
              </w:rPr>
              <w:t>($352,693.64)</w:t>
            </w:r>
          </w:p>
        </w:tc>
        <w:tc>
          <w:tcPr>
            <w:tcW w:w="1350" w:type="dxa"/>
            <w:gridSpan w:val="2"/>
            <w:tcBorders>
              <w:end w:val="single" w:sz="12"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r>
      <w:tr>
        <w:trPr>
          <w:trHeight w:val="88" w:hRule="atLeast"/>
        </w:trPr>
        <w:tc>
          <w:tcPr>
            <w:tcW w:w="3540" w:type="dxa"/>
            <w:tcBorders>
              <w:start w:val="single" w:sz="12" w:space="0" w:color="000000"/>
            </w:tcBorders>
          </w:tcPr>
          <w:p>
            <w:pPr>
              <w:pStyle w:val="Normal"/>
              <w:snapToGrid w:val="false"/>
              <w:rPr>
                <w:rFonts w:ascii="Arial; HELVETICA" w:hAnsi="Arial; HELVETICA" w:cs="Arial; HELVETICA"/>
                <w:lang w:eastAsia="en-US"/>
              </w:rPr>
            </w:pPr>
            <w:r>
              <w:rPr>
                <w:rFonts w:cs="Arial; HELVETICA" w:ascii="Arial; HELVETICA" w:hAnsi="Arial; HELVETICA"/>
                <w:lang w:eastAsia="en-US"/>
              </w:rPr>
            </w:r>
          </w:p>
        </w:tc>
        <w:tc>
          <w:tcPr>
            <w:tcW w:w="1980" w:type="dxa"/>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620" w:type="dxa"/>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1350" w:type="dxa"/>
            <w:gridSpan w:val="2"/>
            <w:tcBorders>
              <w:end w:val="single" w:sz="12"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r>
      <w:tr>
        <w:trPr>
          <w:trHeight w:val="88" w:hRule="atLeast"/>
        </w:trPr>
        <w:tc>
          <w:tcPr>
            <w:tcW w:w="3540" w:type="dxa"/>
            <w:tcBorders>
              <w:start w:val="single" w:sz="12" w:space="0" w:color="000000"/>
            </w:tcBorders>
          </w:tcPr>
          <w:p>
            <w:pPr>
              <w:pStyle w:val="Normal"/>
              <w:rPr>
                <w:rFonts w:ascii="Arial; HELVETICA" w:hAnsi="Arial; HELVETICA" w:cs="Arial; HELVETICA"/>
                <w:lang w:eastAsia="en-US"/>
              </w:rPr>
            </w:pPr>
            <w:r>
              <w:rPr>
                <w:rFonts w:eastAsia="Arial; HELVETICA" w:cs="Arial; HELVETICA" w:ascii="Arial; HELVETICA" w:hAnsi="Arial; HELVETICA"/>
                <w:lang w:eastAsia="en-US"/>
              </w:rPr>
              <w:t xml:space="preserve">  </w:t>
            </w:r>
            <w:r>
              <w:rPr>
                <w:rFonts w:cs="Arial; HELVETICA" w:ascii="Arial; HELVETICA" w:hAnsi="Arial; HELVETICA"/>
                <w:lang w:eastAsia="en-US"/>
              </w:rPr>
              <w:t>Total</w:t>
            </w:r>
          </w:p>
        </w:tc>
        <w:tc>
          <w:tcPr>
            <w:tcW w:w="1980" w:type="dxa"/>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620" w:type="dxa"/>
            <w:tcBorders>
              <w:top w:val="single" w:sz="4" w:space="0" w:color="000000"/>
            </w:tcBorders>
          </w:tcPr>
          <w:p>
            <w:pPr>
              <w:pStyle w:val="Normal"/>
              <w:jc w:val="end"/>
              <w:rPr>
                <w:rFonts w:ascii="Arial; HELVETICA" w:hAnsi="Arial; HELVETICA" w:cs="Arial; HELVETICA"/>
                <w:color w:val="000000"/>
                <w:lang w:eastAsia="en-US"/>
              </w:rPr>
            </w:pPr>
            <w:r>
              <w:rPr>
                <w:rFonts w:cs="Arial; HELVETICA" w:ascii="Arial; HELVETICA" w:hAnsi="Arial; HELVETICA"/>
                <w:color w:val="000000"/>
                <w:lang w:eastAsia="en-US"/>
              </w:rPr>
              <w:t xml:space="preserve">$45,426,874.33 </w:t>
            </w:r>
          </w:p>
        </w:tc>
        <w:tc>
          <w:tcPr>
            <w:tcW w:w="1350" w:type="dxa"/>
            <w:gridSpan w:val="2"/>
            <w:tcBorders>
              <w:end w:val="single" w:sz="12"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r>
      <w:tr>
        <w:trPr>
          <w:trHeight w:val="88" w:hRule="atLeast"/>
        </w:trPr>
        <w:tc>
          <w:tcPr>
            <w:tcW w:w="3540" w:type="dxa"/>
            <w:tcBorders>
              <w:start w:val="single" w:sz="12" w:space="0" w:color="000000"/>
            </w:tcBorders>
          </w:tcPr>
          <w:p>
            <w:pPr>
              <w:pStyle w:val="Normal"/>
              <w:snapToGrid w:val="false"/>
              <w:rPr>
                <w:rFonts w:ascii="Arial; HELVETICA" w:hAnsi="Arial; HELVETICA" w:cs="Arial; HELVETICA"/>
                <w:lang w:eastAsia="en-US"/>
              </w:rPr>
            </w:pPr>
            <w:r>
              <w:rPr>
                <w:rFonts w:cs="Arial; HELVETICA" w:ascii="Arial; HELVETICA" w:hAnsi="Arial; HELVETICA"/>
                <w:lang w:eastAsia="en-US"/>
              </w:rPr>
            </w:r>
          </w:p>
        </w:tc>
        <w:tc>
          <w:tcPr>
            <w:tcW w:w="1980" w:type="dxa"/>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620" w:type="dxa"/>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c>
          <w:tcPr>
            <w:tcW w:w="1350" w:type="dxa"/>
            <w:gridSpan w:val="2"/>
            <w:tcBorders>
              <w:end w:val="single" w:sz="12" w:space="0" w:color="000000"/>
            </w:tcBorders>
          </w:tcPr>
          <w:p>
            <w:pPr>
              <w:pStyle w:val="Normal"/>
              <w:snapToGrid w:val="false"/>
              <w:jc w:val="end"/>
              <w:rPr>
                <w:rFonts w:ascii="Arial; HELVETICA" w:hAnsi="Arial; HELVETICA" w:cs="Arial; HELVETICA"/>
                <w:lang w:eastAsia="en-US"/>
              </w:rPr>
            </w:pPr>
            <w:r>
              <w:rPr>
                <w:rFonts w:cs="Arial; HELVETICA" w:ascii="Arial; HELVETICA" w:hAnsi="Arial; HELVETICA"/>
                <w:lang w:eastAsia="en-US"/>
              </w:rPr>
            </w:r>
          </w:p>
        </w:tc>
      </w:tr>
      <w:tr>
        <w:trPr>
          <w:trHeight w:val="88" w:hRule="atLeast"/>
        </w:trPr>
        <w:tc>
          <w:tcPr>
            <w:tcW w:w="8490" w:type="dxa"/>
            <w:gridSpan w:val="5"/>
            <w:tcBorders>
              <w:start w:val="single" w:sz="12" w:space="0" w:color="000000"/>
              <w:bottom w:val="single" w:sz="12" w:space="0" w:color="000000"/>
              <w:end w:val="single" w:sz="12" w:space="0" w:color="000000"/>
            </w:tcBorders>
          </w:tcPr>
          <w:p>
            <w:pPr>
              <w:pStyle w:val="Normal"/>
              <w:rPr>
                <w:rFonts w:ascii="Arial; HELVETICA" w:hAnsi="Arial; HELVETICA" w:cs="Arial; HELVETICA"/>
                <w:b/>
                <w:lang w:eastAsia="en-US"/>
              </w:rPr>
            </w:pPr>
            <w:r>
              <w:rPr>
                <w:rFonts w:cs="Arial; HELVETICA" w:ascii="Arial; HELVETICA" w:hAnsi="Arial; HELVETICA"/>
                <w:b/>
                <w:lang w:eastAsia="en-US"/>
              </w:rPr>
              <w:t xml:space="preserve">Note </w:t>
            </w:r>
            <w:r>
              <w:rPr>
                <w:rFonts w:eastAsia="Symbol" w:cs="Symbol" w:ascii="Symbol" w:hAnsi="Symbol"/>
                <w:lang w:eastAsia="en-US"/>
              </w:rPr>
              <w:sym w:font="Symbol" w:char="f0ad"/>
            </w:r>
            <w:r>
              <w:rPr>
                <w:rFonts w:cs="Arial Narrow" w:ascii="Arial Narrow" w:hAnsi="Arial Narrow"/>
                <w:lang w:eastAsia="en-US"/>
              </w:rPr>
              <w:t xml:space="preserve">, </w:t>
            </w:r>
            <w:r>
              <w:rPr>
                <w:rFonts w:eastAsia="Symbol" w:cs="Symbol" w:ascii="Symbol" w:hAnsi="Symbol"/>
                <w:lang w:eastAsia="en-US"/>
              </w:rPr>
              <w:sym w:font="Symbol" w:char="f0ad"/>
              <w:sym w:font="Symbol" w:char="f0ad"/>
            </w:r>
            <w:r>
              <w:rPr>
                <w:rFonts w:cs="Arial Narrow" w:ascii="Arial Narrow" w:hAnsi="Arial Narrow"/>
                <w:lang w:eastAsia="en-US"/>
              </w:rPr>
              <w:t>, *, **</w:t>
            </w:r>
          </w:p>
          <w:p>
            <w:pPr>
              <w:pStyle w:val="Normal"/>
              <w:rPr>
                <w:rFonts w:ascii="Arial; HELVETICA" w:hAnsi="Arial; HELVETICA" w:cs="Arial; HELVETICA"/>
                <w:lang w:eastAsia="en-US"/>
              </w:rPr>
            </w:pPr>
            <w:r>
              <w:rPr>
                <w:rFonts w:cs="Arial; HELVETICA" w:ascii="Arial; HELVETICA" w:hAnsi="Arial; HELVETICA"/>
                <w:lang w:eastAsia="en-US"/>
              </w:rPr>
              <w:t>*  AEP is a creditor for November for an amount in excess of December default amount.</w:t>
            </w:r>
          </w:p>
          <w:p>
            <w:pPr>
              <w:pStyle w:val="Normal"/>
              <w:rPr>
                <w:rFonts w:ascii="Arial; HELVETICA" w:hAnsi="Arial; HELVETICA" w:cs="Arial; HELVETICA"/>
                <w:lang w:eastAsia="en-US"/>
              </w:rPr>
            </w:pPr>
            <w:r>
              <w:rPr>
                <w:rFonts w:cs="Arial; HELVETICA" w:ascii="Arial; HELVETICA" w:hAnsi="Arial; HELVETICA"/>
                <w:lang w:eastAsia="en-US"/>
              </w:rPr>
              <w:t>** Illinova is a creditor for November for an amount less than the December default amount.</w:t>
            </w:r>
          </w:p>
          <w:p>
            <w:pPr>
              <w:pStyle w:val="Normal"/>
              <w:rPr/>
            </w:pPr>
            <w:r>
              <w:rPr>
                <w:rFonts w:eastAsia="Symbol" w:cs="Symbol" w:ascii="Symbol" w:hAnsi="Symbol"/>
                <w:lang w:eastAsia="en-US"/>
              </w:rPr>
              <w:sym w:font="Symbol" w:char="f0ad"/>
            </w:r>
            <w:r>
              <w:rPr>
                <w:rFonts w:eastAsia="Arial; HELVETICA" w:cs="Arial; HELVETICA" w:ascii="Arial; HELVETICA" w:hAnsi="Arial; HELVETICA"/>
                <w:lang w:eastAsia="en-US"/>
              </w:rPr>
              <w:t xml:space="preserve">    </w:t>
            </w:r>
            <w:r>
              <w:rPr>
                <w:rFonts w:cs="Arial; HELVETICA" w:ascii="Arial; HELVETICA" w:hAnsi="Arial; HELVETICA"/>
                <w:lang w:eastAsia="en-US"/>
              </w:rPr>
              <w:t>Party has no remaining GMC obligation after offset against amounts distributed.</w:t>
            </w:r>
          </w:p>
          <w:p>
            <w:pPr>
              <w:pStyle w:val="Normal"/>
              <w:rPr/>
            </w:pPr>
            <w:r>
              <w:rPr>
                <w:rFonts w:eastAsia="Symbol" w:cs="Symbol" w:ascii="Symbol" w:hAnsi="Symbol"/>
                <w:lang w:eastAsia="en-US"/>
              </w:rPr>
              <w:sym w:font="Symbol" w:char="f0ad"/>
              <w:sym w:font="Symbol" w:char="f0ad"/>
            </w:r>
            <w:r>
              <w:rPr>
                <w:rFonts w:eastAsia="Arial; HELVETICA" w:cs="Arial; HELVETICA" w:ascii="Arial; HELVETICA" w:hAnsi="Arial; HELVETICA"/>
                <w:lang w:eastAsia="en-US"/>
              </w:rPr>
              <w:t xml:space="preserve">   </w:t>
            </w:r>
            <w:r>
              <w:rPr>
                <w:rFonts w:cs="Arial; HELVETICA" w:ascii="Arial; HELVETICA" w:hAnsi="Arial; HELVETICA"/>
                <w:lang w:eastAsia="en-US"/>
              </w:rPr>
              <w:t>SCE and Illinova remain in default for GMC obligation.</w:t>
            </w:r>
          </w:p>
          <w:p>
            <w:pPr>
              <w:pStyle w:val="Normal"/>
              <w:rPr>
                <w:rFonts w:ascii="Arial; HELVETICA" w:hAnsi="Arial; HELVETICA" w:eastAsia="Arial; HELVETICA" w:cs="Arial; HELVETICA"/>
                <w:lang w:eastAsia="en-US"/>
              </w:rPr>
            </w:pPr>
            <w:r>
              <w:rPr>
                <w:rFonts w:eastAsia="Arial; HELVETICA" w:cs="Arial; HELVETICA" w:ascii="Arial; HELVETICA" w:hAnsi="Arial; HELVETICA"/>
                <w:lang w:eastAsia="en-US"/>
              </w:rPr>
              <w:t xml:space="preserve">  </w:t>
            </w:r>
          </w:p>
        </w:tc>
      </w:tr>
    </w:tbl>
    <w:p>
      <w:pPr>
        <w:pStyle w:val="Normal"/>
        <w:ind w:start="864" w:end="0"/>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ind w:end="288"/>
        <w:jc w:val="both"/>
        <w:rPr>
          <w:rFonts w:ascii="Arial; HELVETICA" w:hAnsi="Arial; HELVETICA" w:cs="Arial; HELVETICA"/>
          <w:b/>
          <w:i/>
          <w:i/>
          <w:lang w:eastAsia="en-US"/>
        </w:rPr>
      </w:pPr>
      <w:r>
        <w:rPr>
          <w:rFonts w:cs="Arial; HELVETICA" w:ascii="Arial; HELVETICA" w:hAnsi="Arial; HELVETICA"/>
          <w:sz w:val="24"/>
          <w:lang w:eastAsia="en-US"/>
        </w:rPr>
        <w:t>The distributions were made in accordance with the following tariff provision:</w:t>
      </w:r>
    </w:p>
    <w:p>
      <w:pPr>
        <w:pStyle w:val="Normal"/>
        <w:ind w:start="432" w:end="288"/>
        <w:jc w:val="both"/>
        <w:rPr>
          <w:rFonts w:ascii="Arial; HELVETICA" w:hAnsi="Arial; HELVETICA" w:cs="Arial; HELVETICA"/>
          <w:b/>
          <w:i/>
          <w:i/>
          <w:lang w:eastAsia="en-US"/>
        </w:rPr>
      </w:pPr>
      <w:r>
        <w:rPr>
          <w:rFonts w:cs="Arial; HELVETICA" w:ascii="Arial; HELVETICA" w:hAnsi="Arial; HELVETICA"/>
          <w:b/>
          <w:i/>
          <w:lang w:eastAsia="en-US"/>
        </w:rPr>
      </w:r>
    </w:p>
    <w:p>
      <w:pPr>
        <w:pStyle w:val="Normal"/>
        <w:ind w:start="432" w:end="288"/>
        <w:jc w:val="both"/>
        <w:rPr>
          <w:rFonts w:ascii="Arial; HELVETICA" w:hAnsi="Arial; HELVETICA" w:cs="Arial; HELVETICA"/>
          <w:b/>
          <w:i/>
          <w:i/>
          <w:lang w:eastAsia="en-US"/>
        </w:rPr>
      </w:pPr>
      <w:r>
        <w:rPr>
          <w:rFonts w:cs="Arial; HELVETICA" w:ascii="Arial; HELVETICA" w:hAnsi="Arial; HELVETICA"/>
          <w:b/>
          <w:i/>
          <w:lang w:eastAsia="en-US"/>
        </w:rPr>
        <w:t>11.16.1 Pro Rata Reduction of Payments.</w:t>
      </w:r>
    </w:p>
    <w:p>
      <w:pPr>
        <w:pStyle w:val="Normal"/>
        <w:ind w:start="432" w:end="288"/>
        <w:jc w:val="both"/>
        <w:rPr>
          <w:rFonts w:ascii="Arial; HELVETICA" w:hAnsi="Arial; HELVETICA" w:cs="Arial; HELVETICA"/>
          <w:i/>
          <w:i/>
          <w:lang w:eastAsia="en-US"/>
        </w:rPr>
      </w:pPr>
      <w:r>
        <w:rPr>
          <w:rFonts w:cs="Arial; HELVETICA" w:ascii="Arial; HELVETICA" w:hAnsi="Arial; HELVETICA"/>
          <w:i/>
          <w:lang w:eastAsia="en-US"/>
        </w:rPr>
        <w:t>If it is not possible to clear the ISO Clearing Account on a Payment Date because of an insufficiency of funds available in the ISO Reserve Account or by enforcing any guarantee, letter of credit or other credit support provided by a defaulting Scheduling Coordinator, the ISO shall reduce payments to all ISO Creditors proportionately to the net amounts payable to them on the relevant Payment Data to the extent necessary to clear the ISO Clearing Account.  The ISO shall account for such reduction in the ISO ledger accounts as amounts due and owing by the non-paying ISO Debtor to each ISO Creditor whose payment was so reduced.</w:t>
      </w:r>
    </w:p>
    <w:p>
      <w:pPr>
        <w:pStyle w:val="Normal"/>
        <w:ind w:start="144" w:end="0"/>
        <w:jc w:val="both"/>
        <w:rPr>
          <w:rFonts w:ascii="Arial; HELVETICA" w:hAnsi="Arial; HELVETICA" w:cs="Arial; HELVETICA"/>
          <w:i/>
          <w:i/>
          <w:sz w:val="24"/>
          <w:lang w:eastAsia="en-US"/>
        </w:rPr>
      </w:pPr>
      <w:r>
        <w:rPr>
          <w:rFonts w:cs="Arial; HELVETICA" w:ascii="Arial; HELVETICA" w:hAnsi="Arial; HELVETICA"/>
          <w:i/>
          <w:sz w:val="24"/>
          <w:lang w:eastAsia="en-US"/>
        </w:rPr>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t xml:space="preserve">As noted above, certain parties have defaulted on their GMC obligations to the ISO.  The ISO has a priority claim to the collection of its GMC.  As a result of non-payment of the GMC by the parties listed above, the ISO reduced the amounts payable to market participants by a total of $591,798.59 to satisfy the ISO's GMC obligation.  This action was consistent with Settlements and Billing Protocol section 6.3.1.3.  Additionally, for those parties who defaulted on their GMC obligation to the ISO, but who were to receive funds from the market, the ISO has reduced their payout to reflect their GMC default. </w:t>
      </w:r>
    </w:p>
    <w:p>
      <w:pPr>
        <w:pStyle w:val="Normal"/>
        <w:jc w:val="both"/>
        <w:rPr>
          <w:rFonts w:ascii="Arial; HELVETICA" w:hAnsi="Arial; HELVETICA" w:cs="Arial; HELVETICA"/>
          <w:b/>
          <w:sz w:val="26"/>
          <w:lang w:eastAsia="en-US"/>
        </w:rPr>
      </w:pPr>
      <w:r>
        <w:rPr>
          <w:rFonts w:cs="Arial; HELVETICA" w:ascii="Arial; HELVETICA" w:hAnsi="Arial; HELVETICA"/>
          <w:b/>
          <w:sz w:val="26"/>
          <w:lang w:eastAsia="en-US"/>
        </w:rPr>
      </w:r>
    </w:p>
    <w:p>
      <w:pPr>
        <w:pStyle w:val="Normal"/>
        <w:ind w:start="432" w:end="288"/>
        <w:jc w:val="both"/>
        <w:rPr>
          <w:rFonts w:ascii="Arial; HELVETICA" w:hAnsi="Arial; HELVETICA" w:cs="Arial; HELVETICA"/>
          <w:b/>
          <w:i/>
          <w:i/>
          <w:lang w:eastAsia="en-US"/>
        </w:rPr>
      </w:pPr>
      <w:r>
        <w:rPr>
          <w:rFonts w:cs="Arial; HELVETICA" w:ascii="Arial; HELVETICA" w:hAnsi="Arial; HELVETICA"/>
          <w:b/>
          <w:i/>
          <w:lang w:eastAsia="en-US"/>
        </w:rPr>
        <w:t>SABP 6.3.1.3</w:t>
      </w:r>
    </w:p>
    <w:p>
      <w:pPr>
        <w:pStyle w:val="Normal"/>
        <w:ind w:start="432" w:end="288"/>
        <w:jc w:val="both"/>
        <w:rPr>
          <w:rFonts w:ascii="Arial; HELVETICA" w:hAnsi="Arial; HELVETICA" w:cs="Arial; HELVETICA"/>
          <w:i/>
          <w:i/>
          <w:lang w:eastAsia="en-US"/>
        </w:rPr>
      </w:pPr>
      <w:r>
        <w:rPr>
          <w:rFonts w:cs="Arial; HELVETICA" w:ascii="Arial; HELVETICA" w:hAnsi="Arial; HELVETICA"/>
          <w:i/>
          <w:lang w:eastAsia="en-US"/>
        </w:rPr>
        <w:t>The ISO is authorized to instruct the ISO Bank to debit the ISO Clearing Account and transfer to the relevant ISO account sufficient funds to pay in full the Grid Management Charge falling due on any Payment Day in priority to any other payments to be made on that or on subsequent days out of the ISO Clearing Account.</w:t>
      </w:r>
    </w:p>
    <w:p>
      <w:pPr>
        <w:pStyle w:val="Normal"/>
        <w:ind w:start="144" w:end="0"/>
        <w:jc w:val="both"/>
        <w:rPr>
          <w:rFonts w:ascii="Arial; HELVETICA" w:hAnsi="Arial; HELVETICA" w:cs="Arial; HELVETICA"/>
          <w:i/>
          <w:i/>
          <w:sz w:val="24"/>
          <w:lang w:eastAsia="en-US"/>
        </w:rPr>
      </w:pPr>
      <w:r>
        <w:rPr>
          <w:rFonts w:cs="Arial; HELVETICA" w:ascii="Arial; HELVETICA" w:hAnsi="Arial; HELVETICA"/>
          <w:i/>
          <w:sz w:val="24"/>
          <w:lang w:eastAsia="en-US"/>
        </w:rPr>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t>Amounts collected from any party are first used to settle that party's oldest outstanding amount payable, in accordance with SABP 6.10.4:</w:t>
      </w:r>
    </w:p>
    <w:p>
      <w:pPr>
        <w:pStyle w:val="Normal"/>
        <w:ind w:start="144" w:end="0"/>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ind w:start="432" w:end="288"/>
        <w:jc w:val="both"/>
        <w:rPr>
          <w:rFonts w:ascii="Arial; HELVETICA" w:hAnsi="Arial; HELVETICA" w:cs="Arial; HELVETICA"/>
          <w:b/>
          <w:i/>
          <w:i/>
          <w:lang w:eastAsia="en-US"/>
        </w:rPr>
      </w:pPr>
      <w:r>
        <w:rPr>
          <w:rFonts w:cs="Arial; HELVETICA" w:ascii="Arial; HELVETICA" w:hAnsi="Arial; HELVETICA"/>
          <w:b/>
          <w:i/>
          <w:lang w:eastAsia="en-US"/>
        </w:rPr>
        <w:t>SABP 6.10.4</w:t>
      </w:r>
    </w:p>
    <w:p>
      <w:pPr>
        <w:pStyle w:val="Normal"/>
        <w:ind w:start="432" w:end="0"/>
        <w:jc w:val="both"/>
        <w:rPr>
          <w:rFonts w:ascii="Arial; HELVETICA" w:hAnsi="Arial; HELVETICA" w:cs="Arial; HELVETICA"/>
          <w:i/>
          <w:i/>
          <w:sz w:val="24"/>
          <w:lang w:eastAsia="en-US"/>
        </w:rPr>
      </w:pPr>
      <w:r>
        <w:rPr>
          <w:rFonts w:cs="Arial; HELVETICA" w:ascii="Arial; HELVETICA" w:hAnsi="Arial; HELVETICA"/>
          <w:i/>
          <w:lang w:eastAsia="en-US"/>
        </w:rPr>
        <w:t>The ISO shall apply payments received in respect of amounts owing to ISO Creditors to repay the relevant debts in the order of the creation of such debts.</w:t>
      </w:r>
    </w:p>
    <w:p>
      <w:pPr>
        <w:pStyle w:val="Normal"/>
        <w:ind w:start="144" w:end="0"/>
        <w:jc w:val="both"/>
        <w:rPr>
          <w:rFonts w:ascii="Arial; HELVETICA" w:hAnsi="Arial; HELVETICA" w:cs="Arial; HELVETICA"/>
          <w:i/>
          <w:i/>
          <w:sz w:val="24"/>
          <w:lang w:eastAsia="en-US"/>
        </w:rPr>
      </w:pPr>
      <w:r>
        <w:rPr>
          <w:rFonts w:cs="Arial; HELVETICA" w:ascii="Arial; HELVETICA" w:hAnsi="Arial; HELVETICA"/>
          <w:i/>
          <w:sz w:val="24"/>
          <w:lang w:eastAsia="en-US"/>
        </w:rPr>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t xml:space="preserve">Accordingly, amounts received on 3/5/2001, were distributed to November 2000 and December 2000 creditors.  Payments received from parties who defaulted in November were first applied to their November balances.  The $352,693.64 was distributed to creditors for the trade month of November 2000. </w:t>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t>In accordance with Section 11.12 (and SABP 6.10.5) of the tariff, the ISO will assess the defaulting parties interest at the ISO Default Interest Rate (currently 10.5%:  prime plus 2%).</w:t>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jc w:val="both"/>
        <w:rPr>
          <w:rFonts w:ascii="Arial; HELVETICA" w:hAnsi="Arial; HELVETICA" w:cs="Arial; HELVETICA"/>
          <w:sz w:val="24"/>
          <w:lang w:eastAsia="en-US"/>
        </w:rPr>
      </w:pPr>
      <w:r>
        <w:rPr>
          <w:rFonts w:cs="Arial; HELVETICA" w:ascii="Arial; HELVETICA" w:hAnsi="Arial; HELVETICA"/>
          <w:sz w:val="24"/>
          <w:lang w:eastAsia="en-US"/>
        </w:rPr>
        <w:t>Certifications are required by Section 11.20.2 of the tariff.  Accordingly, the ISO will provide such certification to ISO creditors.</w:t>
      </w:r>
    </w:p>
    <w:p>
      <w:pPr>
        <w:pStyle w:val="Normal"/>
        <w:jc w:val="both"/>
        <w:rPr>
          <w:rFonts w:ascii="Arial; HELVETICA" w:hAnsi="Arial; HELVETICA" w:eastAsia="Arial; HELVETICA" w:cs="Arial; HELVETICA"/>
          <w:sz w:val="24"/>
          <w:lang w:eastAsia="en-US"/>
        </w:rPr>
      </w:pPr>
      <w:r>
        <w:rPr>
          <w:rFonts w:eastAsia="Arial; HELVETICA" w:cs="Arial; HELVETICA" w:ascii="Arial; HELVETICA" w:hAnsi="Arial; HELVETICA"/>
          <w:sz w:val="24"/>
          <w:lang w:eastAsia="en-US"/>
        </w:rPr>
        <w:t xml:space="preserve"> </w:t>
      </w:r>
    </w:p>
    <w:p>
      <w:pPr>
        <w:pStyle w:val="Normal"/>
        <w:ind w:start="432" w:end="288"/>
        <w:jc w:val="both"/>
        <w:rPr>
          <w:rFonts w:ascii="Arial; HELVETICA" w:hAnsi="Arial; HELVETICA" w:cs="Arial; HELVETICA"/>
          <w:b/>
          <w:i/>
          <w:i/>
          <w:lang w:eastAsia="en-US"/>
        </w:rPr>
      </w:pPr>
      <w:r>
        <w:rPr>
          <w:rFonts w:cs="Arial; HELVETICA" w:ascii="Arial; HELVETICA" w:hAnsi="Arial; HELVETICA"/>
          <w:b/>
          <w:i/>
          <w:lang w:eastAsia="en-US"/>
        </w:rPr>
        <w:t>11.20.2 Evidence of Unpaid Amount.</w:t>
      </w:r>
    </w:p>
    <w:p>
      <w:pPr>
        <w:pStyle w:val="Normal"/>
        <w:ind w:start="432" w:end="288"/>
        <w:jc w:val="both"/>
        <w:rPr>
          <w:rFonts w:ascii="Arial; HELVETICA" w:hAnsi="Arial; HELVETICA" w:cs="Arial; HELVETICA"/>
          <w:i/>
          <w:i/>
          <w:lang w:eastAsia="en-US"/>
        </w:rPr>
      </w:pPr>
      <w:r>
        <w:rPr>
          <w:rFonts w:cs="Arial; HELVETICA" w:ascii="Arial; HELVETICA" w:hAnsi="Arial; HELVETICA"/>
          <w:i/>
          <w:lang w:eastAsia="en-US"/>
        </w:rPr>
        <w:t>The ISO shall, on request, certify in writing the amounts owed by an ISO Debtor that remain unpaid and the ISO Creditors to whom such amounts are owed and shall provide certified copies of the relevant Preliminary and Final Settlement Statements, invoices, and other documentation on which the ISO's certificate was based to the ISO Debtor and the relevant ISO Creditors.  An ISO certificate given under this Section 11.20.2 may be used as prima facie evidence of the amount due by an ISO Debtor to ISO Creditors in any legal proceeding.</w:t>
      </w:r>
    </w:p>
    <w:p>
      <w:pPr>
        <w:pStyle w:val="Normal"/>
        <w:ind w:start="144" w:end="0"/>
        <w:jc w:val="both"/>
        <w:rPr>
          <w:rFonts w:ascii="Arial; HELVETICA" w:hAnsi="Arial; HELVETICA" w:cs="Arial; HELVETICA"/>
          <w:i/>
          <w:i/>
          <w:sz w:val="24"/>
          <w:lang w:eastAsia="en-US"/>
        </w:rPr>
      </w:pPr>
      <w:r>
        <w:rPr>
          <w:rFonts w:cs="Arial; HELVETICA" w:ascii="Arial; HELVETICA" w:hAnsi="Arial; HELVETICA"/>
          <w:i/>
          <w:sz w:val="24"/>
          <w:lang w:eastAsia="en-US"/>
        </w:rPr>
      </w:r>
    </w:p>
    <w:p>
      <w:pPr>
        <w:pStyle w:val="Normal"/>
        <w:ind w:start="144" w:end="0"/>
        <w:jc w:val="both"/>
        <w:rPr>
          <w:rFonts w:ascii="Arial; HELVETICA" w:hAnsi="Arial; HELVETICA" w:cs="Arial; HELVETICA"/>
          <w:sz w:val="24"/>
          <w:lang w:eastAsia="en-US"/>
        </w:rPr>
      </w:pPr>
      <w:r>
        <w:rPr>
          <w:rFonts w:cs="Arial; HELVETICA" w:ascii="Arial; HELVETICA" w:hAnsi="Arial; HELVETICA"/>
          <w:sz w:val="24"/>
          <w:lang w:eastAsia="en-US"/>
        </w:rPr>
        <w:t>The ISO will report further details on this situation when available.</w:t>
      </w:r>
    </w:p>
    <w:p>
      <w:pPr>
        <w:pStyle w:val="Normal"/>
        <w:ind w:start="144" w:end="0"/>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ind w:start="144" w:end="0"/>
        <w:jc w:val="both"/>
        <w:rPr>
          <w:rFonts w:ascii="Arial; HELVETICA" w:hAnsi="Arial; HELVETICA" w:cs="Arial; HELVETICA"/>
          <w:sz w:val="24"/>
          <w:lang w:eastAsia="en-US"/>
        </w:rPr>
      </w:pPr>
      <w:r>
        <w:rPr>
          <w:rFonts w:cs="Arial; HELVETICA" w:ascii="Arial; HELVETICA" w:hAnsi="Arial; HELVETICA"/>
          <w:sz w:val="24"/>
          <w:lang w:eastAsia="en-US"/>
        </w:rPr>
      </w:r>
    </w:p>
    <w:p>
      <w:pPr>
        <w:pStyle w:val="Normal"/>
        <w:ind w:start="144" w:end="0"/>
        <w:jc w:val="both"/>
        <w:rPr>
          <w:rFonts w:ascii="Arial; HELVETICA" w:hAnsi="Arial; HELVETICA" w:cs="Arial; HELVETICA"/>
          <w:sz w:val="24"/>
          <w:lang w:eastAsia="en-US"/>
        </w:rPr>
      </w:pPr>
      <w:r>
        <w:rPr>
          <w:rFonts w:cs="Arial; HELVETICA" w:ascii="Arial; HELVETICA" w:hAnsi="Arial; HELVETICA"/>
          <w:sz w:val="24"/>
          <w:lang w:eastAsia="en-US"/>
        </w:rPr>
        <w:t>Philip Leiber</w:t>
      </w:r>
    </w:p>
    <w:p>
      <w:pPr>
        <w:pStyle w:val="Normal"/>
        <w:ind w:start="144" w:end="0"/>
        <w:jc w:val="both"/>
        <w:rPr>
          <w:rFonts w:ascii="Arial; HELVETICA" w:hAnsi="Arial; HELVETICA" w:cs="Arial; HELVETICA"/>
          <w:sz w:val="24"/>
          <w:lang w:eastAsia="en-US"/>
        </w:rPr>
      </w:pPr>
      <w:r>
        <w:rPr>
          <w:rFonts w:cs="Arial; HELVETICA" w:ascii="Arial; HELVETICA" w:hAnsi="Arial; HELVETICA"/>
          <w:sz w:val="24"/>
          <w:lang w:eastAsia="en-US"/>
        </w:rPr>
        <w:t>ISO Treasurer and Director of Financial Planning</w:t>
      </w:r>
    </w:p>
    <w:p>
      <w:pPr>
        <w:pStyle w:val="Normal"/>
        <w:ind w:start="144" w:end="0"/>
        <w:jc w:val="both"/>
        <w:rPr>
          <w:rFonts w:ascii="Arial; HELVETICA" w:hAnsi="Arial; HELVETICA" w:cs="Arial; HELVETICA"/>
          <w:sz w:val="24"/>
          <w:lang w:eastAsia="en-US"/>
        </w:rPr>
      </w:pPr>
      <w:r>
        <w:rPr>
          <w:rFonts w:cs="Arial; HELVETICA" w:ascii="Arial; HELVETICA" w:hAnsi="Arial; HELVETICA"/>
          <w:sz w:val="24"/>
          <w:lang w:eastAsia="en-US"/>
        </w:rPr>
        <w:t>(916) 351-2168</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Arial">
    <w:altName w:val=" HELVETICA"/>
    <w:charset w:val="00" w:characterSet="windows-1252"/>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2001-03-08T22:25:00Z</dcterms:created>
  <dc:creator>PLeiber</dc:creator>
  <dc:description/>
  <dc:language>en-CA</dc:language>
  <cp:lastModifiedBy>Byron Woertz</cp:lastModifiedBy>
  <cp:lastPrinted>2001-03-08T16:33:00Z</cp:lastPrinted>
  <dcterms:modified xsi:type="dcterms:W3CDTF">2001-03-08T22:25:00Z</dcterms:modified>
  <cp:revision>3</cp:revision>
  <dc:subject/>
  <dc:title>ISO Market Participants:</dc:title>
</cp:coreProperties>
</file>