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u w:val="single"/>
        </w:rPr>
        <w:t>Project Tornado</w:t>
      </w:r>
    </w:p>
    <w:p>
      <w:pPr>
        <w:pStyle w:val="Normal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u w:val="single"/>
        </w:rPr>
        <w:t>To Do List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1.  O/C Issues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Agree on Events of Default on Notes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Agree on Events of Termination on Prepaid Swap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Agree on Events of Termination on Option Contract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What permits acceleration of Notes?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What rights does Option Counterparty have if Notes Default?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What rights does Issuer have if ML defaults?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Comment on RMS Disclosure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Agree on Risk Factors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Collect/ discuss third party comments: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Rating agencies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Indenture trustee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Owner trustee</w:t>
      </w:r>
    </w:p>
    <w:p>
      <w:pPr>
        <w:pStyle w:val="Normal"/>
        <w:bidi w:val="0"/>
        <w:spacing w:lineRule="auto" w:line="240" w:before="0" w:after="0"/>
        <w:ind w:hanging="0" w:start="72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Accountants:  is there any info here for accountants to review / sign off on?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Is M/L disclosure adequate?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Add appendix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Complete analysis re commodities law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Complete analysis re insurance law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Complete analysis re tax law and rep. letter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Eric Tell to produce numbers for hybrid analysis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2.  Printing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Hire printer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Send disk to printer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Review proof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Go to printer to revise and process document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3.  Documentation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Prepare Initial Document Drafts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Swaps and Guarantee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Trust Agreement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Indenture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Opinions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Purchase Agreements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ab/>
        <w:t>Get and review comments on documents from: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Rating Agencies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Indenture Trustee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Owner Trustee</w:t>
      </w:r>
    </w:p>
    <w:p>
      <w:pPr>
        <w:pStyle w:val="Normal"/>
        <w:bidi w:val="0"/>
        <w:spacing w:lineRule="auto" w:line="240" w:before="0" w:after="0"/>
        <w:ind w:firstLine="144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all other parties</w:t>
      </w:r>
    </w:p>
    <w:p>
      <w:pPr>
        <w:pStyle w:val="Normal"/>
        <w:bidi w:val="0"/>
        <w:spacing w:lineRule="auto" w:line="240" w:before="0" w:after="0"/>
        <w:ind w:firstLine="720" w:start="0" w:end="0"/>
        <w:jc w:val="star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Recirculate documents and resolve issues.</w:t>
      </w:r>
    </w:p>
    <w:sectPr>
      <w:type w:val="nextPage"/>
      <w:pgSz w:w="12240" w:h="15840"/>
      <w:pgMar w:left="2160" w:right="1872" w:gutter="0" w:header="0" w:top="2160" w:footer="0" w:bottom="180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