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i/>
          <w:i/>
        </w:rPr>
      </w:pPr>
      <w:r>
        <w:rPr>
          <w:b/>
          <w:i/>
        </w:rPr>
        <w:t>EOTT Energy Corp.</w:t>
      </w:r>
    </w:p>
    <w:p>
      <w:pPr>
        <w:pStyle w:val="Normal"/>
        <w:rPr>
          <w:b/>
          <w:i/>
          <w:i/>
        </w:rPr>
      </w:pPr>
      <w:r>
        <w:rPr>
          <w:b/>
          <w:i/>
        </w:rPr>
      </w:r>
    </w:p>
    <w:p>
      <w:pPr>
        <w:pStyle w:val="Normal"/>
        <w:jc w:val="center"/>
        <w:rPr>
          <w:rFonts w:ascii="Arial" w:hAnsi="Arial" w:cs="Arial"/>
          <w:b/>
          <w:i/>
          <w:i/>
          <w:u w:val="single"/>
        </w:rPr>
      </w:pPr>
      <w:r>
        <w:rPr>
          <w:rFonts w:cs="Arial" w:ascii="Arial" w:hAnsi="Arial"/>
          <w:b/>
          <w:i/>
          <w:u w:val="single"/>
        </w:rPr>
        <w:t>PRIVILEGED AND CONFIDENTIAL; ATTORNEY/CLIENT COMMUNICATION;</w:t>
      </w:r>
    </w:p>
    <w:p>
      <w:pPr>
        <w:pStyle w:val="Normal"/>
        <w:jc w:val="center"/>
        <w:rPr>
          <w:rFonts w:ascii="Arial" w:hAnsi="Arial" w:cs="Arial"/>
          <w:b/>
          <w:i/>
          <w:i/>
          <w:u w:val="single"/>
        </w:rPr>
      </w:pPr>
      <w:r>
        <w:rPr>
          <w:rFonts w:cs="Arial" w:ascii="Arial" w:hAnsi="Arial"/>
          <w:b/>
          <w:i/>
          <w:u w:val="single"/>
        </w:rPr>
        <w:t>ATTORNEY’S WORK PRODUCT</w:t>
      </w:r>
    </w:p>
    <w:p>
      <w:pPr>
        <w:pStyle w:val="Normal"/>
        <w:rPr/>
      </w:pPr>
      <w:r>
        <w:rPr/>
      </w:r>
    </w:p>
    <w:p>
      <w:pPr>
        <w:pStyle w:val="Normal"/>
        <w:rPr/>
      </w:pPr>
      <w:r>
        <w:rPr/>
      </w:r>
    </w:p>
    <w:p>
      <w:pPr>
        <w:pStyle w:val="Normal"/>
        <w:jc w:val="center"/>
        <w:rPr>
          <w:u w:val="single"/>
        </w:rPr>
      </w:pPr>
      <w:r>
        <w:rPr>
          <w:u w:val="single"/>
        </w:rPr>
        <w:t>INTEROFFICE MEMORANDUM</w:t>
      </w:r>
    </w:p>
    <w:p>
      <w:pPr>
        <w:pStyle w:val="Normal"/>
        <w:rPr>
          <w:u w:val="single"/>
        </w:rPr>
      </w:pPr>
      <w:r>
        <w:rPr>
          <w:u w:val="single"/>
        </w:rPr>
      </w:r>
    </w:p>
    <w:p>
      <w:pPr>
        <w:pStyle w:val="Normal"/>
        <w:jc w:val="both"/>
        <w:rPr/>
      </w:pPr>
      <w:r>
        <w:rPr/>
        <w:t>TO:</w:t>
        <w:tab/>
        <w:tab/>
        <w:t>Mike Burke</w:t>
      </w:r>
    </w:p>
    <w:p>
      <w:pPr>
        <w:pStyle w:val="Normal"/>
        <w:jc w:val="both"/>
        <w:rPr/>
      </w:pPr>
      <w:r>
        <w:rPr/>
        <w:tab/>
        <w:tab/>
        <w:t>Mary Ellen Coombe</w:t>
      </w:r>
    </w:p>
    <w:p>
      <w:pPr>
        <w:pStyle w:val="Normal"/>
        <w:jc w:val="both"/>
        <w:rPr/>
      </w:pPr>
      <w:r>
        <w:rPr/>
        <w:tab/>
        <w:tab/>
        <w:t>Dana Gibbs</w:t>
      </w:r>
    </w:p>
    <w:p>
      <w:pPr>
        <w:pStyle w:val="Normal"/>
        <w:jc w:val="both"/>
        <w:rPr/>
      </w:pPr>
      <w:r>
        <w:rPr/>
        <w:tab/>
        <w:tab/>
        <w:t>Lori Maddox</w:t>
      </w:r>
    </w:p>
    <w:p>
      <w:pPr>
        <w:pStyle w:val="Normal"/>
        <w:jc w:val="both"/>
        <w:rPr/>
      </w:pPr>
      <w:r>
        <w:rPr/>
        <w:tab/>
        <w:tab/>
        <w:t>Susan Ralph</w:t>
      </w:r>
    </w:p>
    <w:p>
      <w:pPr>
        <w:pStyle w:val="Normal"/>
        <w:jc w:val="both"/>
        <w:rPr/>
      </w:pPr>
      <w:r>
        <w:rPr/>
      </w:r>
    </w:p>
    <w:p>
      <w:pPr>
        <w:pStyle w:val="Normal"/>
        <w:jc w:val="both"/>
        <w:rPr/>
      </w:pPr>
      <w:r>
        <w:rPr/>
        <w:t>FROM:</w:t>
        <w:tab/>
        <w:t>Walter W. Zimmerman</w:t>
      </w:r>
    </w:p>
    <w:p>
      <w:pPr>
        <w:pStyle w:val="Normal"/>
        <w:jc w:val="both"/>
        <w:rPr/>
      </w:pPr>
      <w:r>
        <w:rPr/>
        <w:tab/>
        <w:tab/>
        <w:t>Legal Department</w:t>
      </w:r>
    </w:p>
    <w:p>
      <w:pPr>
        <w:pStyle w:val="Normal"/>
        <w:jc w:val="both"/>
        <w:rPr/>
      </w:pPr>
      <w:r>
        <w:rPr/>
      </w:r>
    </w:p>
    <w:p>
      <w:pPr>
        <w:pStyle w:val="Normal"/>
        <w:jc w:val="both"/>
        <w:rPr/>
      </w:pPr>
      <w:r>
        <w:rPr/>
        <w:t>DATE:</w:t>
        <w:tab/>
        <w:tab/>
        <w:t>March 3, 2000</w:t>
      </w:r>
    </w:p>
    <w:p>
      <w:pPr>
        <w:pStyle w:val="Normal"/>
        <w:jc w:val="both"/>
        <w:rPr/>
      </w:pPr>
      <w:r>
        <w:rPr/>
      </w:r>
    </w:p>
    <w:p>
      <w:pPr>
        <w:pStyle w:val="Normal"/>
        <w:jc w:val="both"/>
        <w:rPr/>
      </w:pPr>
      <w:r>
        <w:rPr/>
        <w:t>RE:</w:t>
        <w:tab/>
        <w:tab/>
        <w:t>Status of Steve Todoroff Prosecution</w:t>
      </w:r>
    </w:p>
    <w:p>
      <w:pPr>
        <w:pStyle w:val="Normal"/>
        <w:pBdr>
          <w:bottom w:val="single" w:sz="6" w:space="1" w:color="000000"/>
        </w:pBdr>
        <w:jc w:val="both"/>
        <w:rPr/>
      </w:pPr>
      <w:r>
        <w:rPr/>
      </w:r>
    </w:p>
    <w:p>
      <w:pPr>
        <w:pStyle w:val="Normal"/>
        <w:jc w:val="both"/>
        <w:rPr/>
      </w:pPr>
      <w:r>
        <w:rPr/>
      </w:r>
    </w:p>
    <w:p>
      <w:pPr>
        <w:pStyle w:val="Normal"/>
        <w:jc w:val="both"/>
        <w:rPr/>
      </w:pPr>
      <w:r>
        <w:rPr/>
        <w:tab/>
        <w:t xml:space="preserve">On Monday, February 28, 2000, John DeGeeter, Bill Lawler, Mark Tuohey, and I met with Bill Moore of the Harris County District Attorney’s Office.  Mr. Moore is the Assistant District Attorney who is in charge of the Special Crimes Bureau.  As most of you are aware, John DeGeeter is the attorney from Vinson &amp; Elkins who has been assisting me with the preparation of materials for presentation to criminal prosecutors.  Bill Lawler and Mark Tuohey are both former Assistant United States Attorneys who practice in Vinson &amp; Elkins' Washington, D.C. office.  Mr. Lawler and Mr. Tuohey were in Houston on other business, and they arranged the meeting with Bill Moore.  </w:t>
      </w:r>
    </w:p>
    <w:p>
      <w:pPr>
        <w:pStyle w:val="Normal"/>
        <w:jc w:val="both"/>
        <w:rPr/>
      </w:pPr>
      <w:r>
        <w:rPr/>
      </w:r>
    </w:p>
    <w:p>
      <w:pPr>
        <w:pStyle w:val="Normal"/>
        <w:jc w:val="both"/>
        <w:rPr/>
      </w:pPr>
      <w:r>
        <w:rPr/>
        <w:tab/>
        <w:t xml:space="preserve">Because it is far easier to understand and prove than the other unauthorized transaction by Mr. Todoroff, we limited our discussions with Bill Moore to the theft arising from the cashless exchange transaction involving Petrogas, EOTT, and Gas Producers.  Mr. Moore indicated that Steve Todoroff’s theft of 100,000 barrels of butane would be a first degree felony because the value of the stolen product exceeds $200,000.00.  The statutory punishment for this crime is imprisonment for a term ranging from 5 to 99 years.  Mr. Moore indicated that if Mr. Todoroff was convicted of the theft of 100,000 barrels of butane, and if Mr. Todoroff has squandered the money he received when he sold the butane (as we believe he has), Mr. Todoroff could expect to receive a 10-year prison sentence.  Mr. Moore stated that if Mr. Todoroff were sentenced to 10 years of imprisonment, he could expect to serve at least 2½ years of that sentence.  Mr. Moore further stated that Mr. Todoroff would be eligible for parole after serving 2½ years of a ten-year sentence but that, considering the value of the butane at the time he misappropriated it (approximately $900,000.00), a parole board probably would be reluctant to grant him parole after only 2½ years of imprisonment.  Mr. Moore also reminded me that EOTT would have an opportunity to appear at parole hearings and advocate the continued imprisonment of Mr. Todoroff.  </w:t>
      </w:r>
    </w:p>
    <w:p>
      <w:pPr>
        <w:pStyle w:val="Normal"/>
        <w:jc w:val="both"/>
        <w:rPr/>
      </w:pPr>
      <w:r>
        <w:rPr/>
      </w:r>
    </w:p>
    <w:p>
      <w:pPr>
        <w:pStyle w:val="Normal"/>
        <w:jc w:val="both"/>
        <w:rPr/>
      </w:pPr>
      <w:r>
        <w:rPr/>
        <w:tab/>
        <w:t xml:space="preserve">We were cautioned by Mr. Moore that there is no guarantee as to the severity of the sentence Mr. Todoroff may receive.  Assuming that Mr. Todoroff has never been convicted of anything other than traffic offenses, and can make some restitution to EOTT, he could receive deferred adjudication and avoid prison altogether.  Mr. Moore said that it is just as likely that Mr. Todoroff will receive a 20 to 30 year prison sentence.  </w:t>
      </w:r>
    </w:p>
    <w:p>
      <w:pPr>
        <w:pStyle w:val="Normal"/>
        <w:jc w:val="both"/>
        <w:rPr/>
      </w:pPr>
      <w:r>
        <w:rPr/>
      </w:r>
    </w:p>
    <w:p>
      <w:pPr>
        <w:pStyle w:val="Normal"/>
        <w:jc w:val="both"/>
        <w:rPr/>
      </w:pPr>
      <w:r>
        <w:rPr/>
        <w:tab/>
        <w:t xml:space="preserve">Mr. Moore pointed out that Mr. Todoroff’s activities may also be in violation of federal law and subject to federal prosecution.  He stated, however, that his experience had not been very good with federal prosecutors in Houston prosecuting crimes of this nature.  He indicated that federal prosecutors in Houston did not have a high level of interest in prosecuting this type of crime.  He also said that if EOTT elected to pursue federal prosecution, at best, an indictment would be forthcoming in approximately 6 months.  Mr. Moore did note, however, that under the federal sentencing guidelines, Mr. Todoroff might actually receive and serve a longer sentence if he was prosecuted at the federal level.  </w:t>
      </w:r>
    </w:p>
    <w:p>
      <w:pPr>
        <w:pStyle w:val="Normal"/>
        <w:jc w:val="both"/>
        <w:rPr/>
      </w:pPr>
      <w:r>
        <w:rPr/>
      </w:r>
    </w:p>
    <w:p>
      <w:pPr>
        <w:pStyle w:val="Normal"/>
        <w:jc w:val="both"/>
        <w:rPr/>
      </w:pPr>
      <w:r>
        <w:rPr/>
        <w:tab/>
        <w:t xml:space="preserve">Mr. Moore seems very interested in prosecuting this matter.  He gave us a "checklist" of questions to answer.  The responses to these questions require significant detail about the butane misappropriation and the companies and individuals associated with the transactions that are connected with the misappropriation.  The checklist also requires that EOTT submit all identifying information it has with respect to Mr. Todoroff (e.g., bank account information, social security number, driver's license number, and mother's maiden name).  Most of this information can be found in Mr. Todoroff's personnel file which has been provided to me.  I anticipate that John DeGeeter and I will complete the checklist this weekend, and we will submit it to Mr. Moore on Monday.  </w:t>
      </w:r>
    </w:p>
    <w:p>
      <w:pPr>
        <w:pStyle w:val="Normal"/>
        <w:jc w:val="both"/>
        <w:rPr/>
      </w:pPr>
      <w:r>
        <w:rPr/>
      </w:r>
    </w:p>
    <w:p>
      <w:pPr>
        <w:pStyle w:val="Normal"/>
        <w:jc w:val="both"/>
        <w:rPr/>
      </w:pPr>
      <w:r>
        <w:rPr/>
        <w:tab/>
        <w:t xml:space="preserve">The checklist will be used by Mr. Moore's investigators.  Mr. Moore indicated that his investigators will first attempt to locate the bank account into which Mr. Todoroff deposited the proceeds from his sale of the 100,000 barrels of butane.  Mr. Moore's investigators will then attempt to determine how Mr. Todoroff spent or invested that money.  If the investigators can locate assets that have been purchased with the proceeds from the sale of the butane, the Criminal Forfeiture Division of the Harris County District Attorney's Office will get involved.  According to Mr. Moore, the Criminal Forfeiture Division really enjoys its work, and has had much success in seizing vehicles, homes, and bank accounts that have been acquired with ill-gotten proceeds.  Mr. Moore stated that before pursuing an indictment of Mr. Todoroff, he would like to give the Criminal Forfeiture Division an opportunity to locate ill-gotten property.  </w:t>
      </w:r>
    </w:p>
    <w:p>
      <w:pPr>
        <w:pStyle w:val="Normal"/>
        <w:jc w:val="both"/>
        <w:rPr/>
      </w:pPr>
      <w:r>
        <w:rPr/>
      </w:r>
    </w:p>
    <w:p>
      <w:pPr>
        <w:pStyle w:val="Normal"/>
        <w:jc w:val="both"/>
        <w:rPr/>
      </w:pPr>
      <w:r>
        <w:rPr/>
        <w:tab/>
        <w:t xml:space="preserve">We discussed with Mr. Moore when we could expect an indictment of Mr. Todoroff and a trial.  Mr. Moore explained that because he wanted to allow the Criminal Forfeiture Division to locate and seize ill-gotten assets (which process could involve subpoenaing bank and brokerage account records), he would expect the indictment of Mr. Todoroff to occur in approximately three months.  He said EOTT should expect Mr. Todoroff to be tried approximately six months after he is indicted.  Mr. Moore did indicate, however, that there are a couple of criminal courts that have huge case backlogs, and that if Mr. Todoroff's case was assigned to one of those courts, it could be more than a year before he is tried.  Mr. Moore stated that it was very unlikely that Mr. Todoroff's case would be assigned to one of those backlogged courts.  He indicated that it was far more likely that Mr. Todoroff's case would be assigned to one specific criminal district court that handles the majority of Mr. Moore's white collar crime cases.  He indicated that the judge in that court is an older gentleman who favors very tough sentencing for white collar criminals.  </w:t>
      </w:r>
    </w:p>
    <w:p>
      <w:pPr>
        <w:pStyle w:val="Normal"/>
        <w:jc w:val="both"/>
        <w:rPr/>
      </w:pPr>
      <w:r>
        <w:rPr/>
      </w:r>
    </w:p>
    <w:p>
      <w:pPr>
        <w:pStyle w:val="Normal"/>
        <w:jc w:val="both"/>
        <w:rPr/>
      </w:pPr>
      <w:r>
        <w:rPr/>
        <w:tab/>
        <w:t xml:space="preserve">After our meeting concluded, I discussed with Bill Lawler and Mark Tuohey (former Assistant United States Attorneys) the statements made by Mr. Moore about pursuing federal prosecution of Mr. Todoroff.  They both concurred with the statements made by Bill Moore.  Mr. Lawler and Mr. Tuohey indicated that the United States Attorney's Office would not have the level of interest in prosecuting this case as does the Special Crimes Division of the Harris County District Attorney's Office.  They agreed that prosecution in the federal system would be much slower, though it could possibly yield a longer prison term for Mr. Todoroff.  They also pointed out that if Mr. Todoroff is convicted in state district court and sentenced to imprisonment, he will not begin his sentence in a minimum security prison.  Apparently, in the Texas prison system, inmates wind up in minimum security prisons only after they have served time at more secure facilities.  </w:t>
      </w:r>
    </w:p>
    <w:p>
      <w:pPr>
        <w:pStyle w:val="Normal"/>
        <w:jc w:val="both"/>
        <w:rPr/>
      </w:pPr>
      <w:r>
        <w:rPr/>
      </w:r>
    </w:p>
    <w:p>
      <w:pPr>
        <w:pStyle w:val="Normal"/>
        <w:jc w:val="both"/>
        <w:rPr/>
      </w:pPr>
      <w:r>
        <w:rPr/>
        <w:tab/>
        <w:t xml:space="preserve">Based on the meeting described above, and my discussions with Dana Gibbs and Steve Duffy, EOTT is completing the information requested by Bill Moore in order that the Harris County District Attorney's Office can handle the prosecution of this matter.  </w:t>
      </w:r>
    </w:p>
    <w:p>
      <w:pPr>
        <w:pStyle w:val="Normal"/>
        <w:jc w:val="both"/>
        <w:rPr/>
      </w:pPr>
      <w:r>
        <w:rPr/>
      </w:r>
    </w:p>
    <w:p>
      <w:pPr>
        <w:pStyle w:val="Normal"/>
        <w:jc w:val="both"/>
        <w:rPr/>
      </w:pPr>
      <w:r>
        <w:rPr/>
        <w:tab/>
        <w:t xml:space="preserve">If you have any questions regarding this matter, please contact me.  </w:t>
      </w:r>
    </w:p>
    <w:p>
      <w:pPr>
        <w:pStyle w:val="Normal"/>
        <w:jc w:val="both"/>
        <w:rPr/>
      </w:pPr>
      <w:r>
        <w:rPr/>
      </w:r>
    </w:p>
    <w:p>
      <w:pPr>
        <w:pStyle w:val="Normal"/>
        <w:jc w:val="both"/>
        <w:rPr/>
      </w:pPr>
      <w:r>
        <w:rPr/>
      </w:r>
    </w:p>
    <w:p>
      <w:pPr>
        <w:pStyle w:val="Normal"/>
        <w:jc w:val="both"/>
        <w:rPr/>
      </w:pPr>
      <w:r>
        <w:rPr/>
        <w:t>cc:</w:t>
        <w:tab/>
        <w:t>Jim Derrick</w:t>
      </w:r>
    </w:p>
    <w:p>
      <w:pPr>
        <w:pStyle w:val="Normal"/>
        <w:jc w:val="both"/>
        <w:rPr/>
      </w:pPr>
      <w:r>
        <w:rPr/>
        <w:tab/>
        <w:t>Steve Duffy</w:t>
      </w:r>
    </w:p>
    <w:p>
      <w:pPr>
        <w:pStyle w:val="Normal"/>
        <w:jc w:val="both"/>
        <w:rPr/>
      </w:pPr>
      <w:r>
        <w:rPr/>
        <w:tab/>
        <w:t>Stan Horton</w:t>
      </w:r>
    </w:p>
    <w:p>
      <w:pPr>
        <w:pStyle w:val="Normal"/>
        <w:jc w:val="both"/>
        <w:rPr/>
      </w:pPr>
      <w:r>
        <w:rPr/>
      </w:r>
    </w:p>
    <w:p>
      <w:pPr>
        <w:pStyle w:val="Normal"/>
        <w:jc w:val="both"/>
        <w:rPr/>
      </w:pPr>
      <w:r>
        <w:rPr/>
      </w:r>
    </w:p>
    <w:p>
      <w:pPr>
        <w:pStyle w:val="Normal"/>
        <w:jc w:val="both"/>
        <w:rPr/>
      </w:pPr>
      <w:r>
        <w:rPr/>
      </w:r>
    </w:p>
    <w:p>
      <w:pPr>
        <w:pStyle w:val="Normal"/>
        <w:jc w:val="both"/>
        <w:rPr/>
      </w:pPr>
      <w:r>
        <w:rPr/>
      </w:r>
    </w:p>
    <w:sectPr>
      <w:footerReference w:type="default" r:id="rId2"/>
      <w:type w:val="nextPage"/>
      <w:pgSz w:w="12240" w:h="15840"/>
      <w:pgMar w:left="1440" w:right="1440" w:gutter="0" w:header="0" w:top="1440" w:footer="43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lang w:eastAsia="en-US"/>
      </w:rPr>
    </w:pPr>
    <w:r>
      <w:rPr>
        <w:sz w:val="18"/>
        <w:lang w:eastAsia="en-US"/>
      </w:rPr>
      <w:fldChar w:fldCharType="begin"/>
    </w:r>
    <w:r>
      <w:rPr>
        <w:sz w:val="18"/>
        <w:lang w:eastAsia="en-US"/>
      </w:rPr>
      <w:instrText xml:space="preserve"> FILENAME \p </w:instrText>
    </w:r>
    <w:r>
      <w:rPr>
        <w:sz w:val="18"/>
        <w:lang w:eastAsia="en-US"/>
      </w:rPr>
      <w:fldChar w:fldCharType="separate"/>
    </w:r>
    <w:r>
      <w:rPr>
        <w:sz w:val="18"/>
        <w:lang w:eastAsia="en-US"/>
      </w:rPr>
      <w:t>/mnt/main-storage/datasets/enron-docs/doc/0303w001.doc</w:t>
    </w:r>
    <w:r>
      <w:rPr>
        <w:sz w:val="18"/>
        <w:lang w:eastAsia="en-US"/>
      </w:rPr>
      <w:fldChar w:fldCharType="end"/>
    </w:r>
  </w:p>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2000-03-03T14:02:00Z</dcterms:created>
  <dc:creator>MaryEllen Hall</dc:creator>
  <dc:description/>
  <dc:language>en-CA</dc:language>
  <cp:lastModifiedBy>Walter Zimmerman</cp:lastModifiedBy>
  <cp:lastPrinted>2000-03-03T17:05:00Z</cp:lastPrinted>
  <dcterms:modified xsi:type="dcterms:W3CDTF">2000-03-03T20:48:00Z</dcterms:modified>
  <cp:revision>18</cp:revision>
  <dc:subject/>
  <dc:title>memo form</dc:title>
</cp:coreProperties>
</file>