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“</w:t>
      </w:r>
      <w:r>
        <w:rPr>
          <w:b/>
        </w:rPr>
        <w:t>Coalition for California’s Energy Future”</w:t>
      </w:r>
    </w:p>
    <w:p>
      <w:pPr>
        <w:pStyle w:val="Normal"/>
        <w:widowControl w:val="false"/>
        <w:jc w:val="center"/>
        <w:rPr>
          <w:rFonts w:ascii="TIMES" w:hAnsi="TIMES" w:cs="TIMES"/>
          <w:b/>
          <w:u w:val="single"/>
        </w:rPr>
      </w:pPr>
      <w:r>
        <w:rPr>
          <w:rFonts w:cs="TIMES" w:ascii="TIMES" w:hAnsi="TIMES"/>
          <w:b/>
          <w:u w:val="single"/>
        </w:rPr>
      </w:r>
      <w:r>
        <w:rPr>
          <w:rFonts w:cs="TIMES" w:ascii="TIMES" w:hAnsi="TIMES"/>
          <w:b/>
          <w:sz w:val="32"/>
          <w:u w:val="single"/>
        </w:rPr>
        <w:t>Statement of Principles</w:t>
      </w:r>
    </w:p>
    <w:p>
      <w:pPr>
        <w:pStyle w:val="Normal"/>
        <w:widowControl w:val="false"/>
        <w:rPr>
          <w:rFonts w:ascii="TIMES" w:hAnsi="TIMES" w:cs="TIMES"/>
          <w:b/>
          <w:sz w:val="32"/>
          <w:u w:val="single"/>
        </w:rPr>
      </w:pPr>
      <w:r>
        <w:rPr>
          <w:rFonts w:cs="TIMES" w:ascii="TIMES" w:hAnsi="TIMES"/>
          <w:b/>
          <w:sz w:val="32"/>
          <w:u w:val="single"/>
        </w:rPr>
      </w:r>
    </w:p>
    <w:p>
      <w:pPr>
        <w:pStyle w:val="Level1"/>
        <w:rPr>
          <w:rFonts w:ascii="TIMES" w:hAnsi="TIMES" w:cs="TIMES"/>
          <w:b/>
          <w:sz w:val="28"/>
        </w:rPr>
      </w:pPr>
      <w:r>
        <w:rPr>
          <w:rFonts w:cs="TIMES" w:ascii="TIMES" w:hAnsi="TIMES"/>
          <w:b/>
          <w:sz w:val="28"/>
        </w:rPr>
        <w:t>California is experiencing an energy crisis that is unparalleled in its severity.  CCEF members are gravely concerned with:</w:t>
      </w:r>
    </w:p>
    <w:p>
      <w:pPr>
        <w:pStyle w:val="Level1"/>
        <w:jc w:val="center"/>
        <w:rPr>
          <w:rFonts w:ascii="TIMES" w:hAnsi="TIMES" w:cs="TIMES"/>
          <w:b/>
          <w:sz w:val="28"/>
        </w:rPr>
      </w:pPr>
      <w:r>
        <w:rPr>
          <w:rFonts w:cs="TIMES" w:ascii="TIMES" w:hAnsi="TIMES"/>
          <w:b/>
          <w:sz w:val="28"/>
        </w:rPr>
      </w:r>
    </w:p>
    <w:p>
      <w:pPr>
        <w:pStyle w:val="Level1"/>
        <w:jc w:val="center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  <w:t>the potential for severe energy shortages in the summer of 2001;</w:t>
      </w:r>
    </w:p>
    <w:p>
      <w:pPr>
        <w:pStyle w:val="Level1"/>
        <w:jc w:val="center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</w:r>
    </w:p>
    <w:p>
      <w:pPr>
        <w:pStyle w:val="Level1"/>
        <w:jc w:val="center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  <w:t>the fiscal impact of CDWR’s power purchases proposals for state ownership of the transmission system, state construction of new transmission and power plants; and</w:t>
      </w:r>
    </w:p>
    <w:p>
      <w:pPr>
        <w:pStyle w:val="Level1"/>
        <w:jc w:val="center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</w:r>
    </w:p>
    <w:p>
      <w:pPr>
        <w:pStyle w:val="Level1"/>
        <w:jc w:val="center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  <w:t>the impact of energy market volatility on large and small users of electricity.</w:t>
      </w:r>
    </w:p>
    <w:p>
      <w:pPr>
        <w:pStyle w:val="Level1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</w:r>
    </w:p>
    <w:p>
      <w:pPr>
        <w:pStyle w:val="Level1"/>
        <w:rPr/>
      </w:pPr>
      <w:r>
        <w:rPr>
          <w:rFonts w:cs="TIMES" w:ascii="TIMES" w:hAnsi="TIMES"/>
          <w:b/>
          <w:sz w:val="28"/>
        </w:rPr>
        <w:t>Accordingly, CCEF adopts the following statement of principles</w:t>
      </w:r>
      <w:r>
        <w:rPr>
          <w:rFonts w:cs="TIMES" w:ascii="TIMES" w:hAnsi="TIMES"/>
          <w:sz w:val="28"/>
        </w:rPr>
        <w:t>:</w:t>
      </w:r>
    </w:p>
    <w:p>
      <w:pPr>
        <w:pStyle w:val="Level1"/>
        <w:jc w:val="center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</w:r>
    </w:p>
    <w:p>
      <w:pPr>
        <w:pStyle w:val="Level1"/>
        <w:ind w:start="810" w:end="720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  <w:t>Neither the legislature, the California PUC, nor the Governor should act unless it expressly increase supply or decreases demand.</w:t>
      </w:r>
    </w:p>
    <w:p>
      <w:pPr>
        <w:pStyle w:val="Level1"/>
        <w:ind w:start="810" w:end="720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</w:r>
    </w:p>
    <w:p>
      <w:pPr>
        <w:pStyle w:val="Level1"/>
        <w:ind w:start="810" w:end="720"/>
        <w:rPr>
          <w:sz w:val="28"/>
        </w:rPr>
      </w:pPr>
      <w:r>
        <w:rPr>
          <w:rFonts w:cs="TIMES" w:ascii="TIMES" w:hAnsi="TIMES"/>
          <w:sz w:val="28"/>
        </w:rPr>
        <w:t xml:space="preserve">The legislature must act to guarantee direct access for retail customers that choose to choose.  </w:t>
      </w:r>
    </w:p>
    <w:p>
      <w:pPr>
        <w:pStyle w:val="Level1"/>
        <w:ind w:start="810" w:end="720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</w:r>
    </w:p>
    <w:p>
      <w:pPr>
        <w:pStyle w:val="Level1"/>
        <w:ind w:start="810" w:end="720"/>
        <w:rPr>
          <w:sz w:val="28"/>
        </w:rPr>
      </w:pPr>
      <w:r>
        <w:rPr>
          <w:rFonts w:cs="TIMES" w:ascii="TIMES" w:hAnsi="TIMES"/>
          <w:sz w:val="28"/>
        </w:rPr>
        <w:t>The legislature should act to encourage private capital investment in this state for energy infrastructure.</w:t>
      </w:r>
    </w:p>
    <w:p>
      <w:pPr>
        <w:pStyle w:val="Level1"/>
        <w:tabs>
          <w:tab w:val="left" w:pos="720" w:leader="none"/>
        </w:tabs>
        <w:ind w:hanging="720" w:start="810" w:end="720"/>
        <w:rPr>
          <w:sz w:val="28"/>
        </w:rPr>
      </w:pPr>
      <w:r>
        <w:rPr>
          <w:sz w:val="28"/>
        </w:rPr>
      </w:r>
    </w:p>
    <w:p>
      <w:pPr>
        <w:pStyle w:val="Level1"/>
        <w:ind w:start="810" w:end="720"/>
        <w:rPr/>
      </w:pPr>
      <w:r>
        <w:rPr>
          <w:sz w:val="28"/>
        </w:rPr>
        <w:t xml:space="preserve">California’s budget surplus should be used for education, public safety and for other traditional public purposes, </w:t>
      </w:r>
      <w:r>
        <w:rPr>
          <w:sz w:val="28"/>
          <w:u w:val="single"/>
        </w:rPr>
        <w:t>not</w:t>
      </w:r>
      <w:r>
        <w:rPr>
          <w:sz w:val="28"/>
        </w:rPr>
        <w:t xml:space="preserve"> for buying energy infrastructure.</w:t>
      </w:r>
    </w:p>
    <w:p>
      <w:pPr>
        <w:pStyle w:val="Level1"/>
        <w:tabs>
          <w:tab w:val="left" w:pos="720" w:leader="none"/>
        </w:tabs>
        <w:ind w:hanging="720" w:start="810" w:end="720"/>
        <w:rPr>
          <w:sz w:val="28"/>
        </w:rPr>
      </w:pPr>
      <w:r>
        <w:rPr>
          <w:sz w:val="28"/>
        </w:rPr>
      </w:r>
    </w:p>
    <w:p>
      <w:pPr>
        <w:pStyle w:val="Level1"/>
        <w:ind w:start="810" w:end="720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  <w:t>Rate increases should not be dismissed as a means for ensuring the solvency of our utilities, decreasing demand during peak periods, and eliminating credit issues in the power market.</w:t>
      </w:r>
    </w:p>
    <w:p>
      <w:pPr>
        <w:pStyle w:val="Level1"/>
        <w:tabs>
          <w:tab w:val="left" w:pos="720" w:leader="none"/>
        </w:tabs>
        <w:ind w:hanging="720" w:start="810" w:end="720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</w:r>
    </w:p>
    <w:p>
      <w:pPr>
        <w:pStyle w:val="Level1"/>
        <w:ind w:start="810" w:end="720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  <w:t>Rates can be increased without affecting those that can least afford the increase.</w:t>
      </w:r>
    </w:p>
    <w:p>
      <w:pPr>
        <w:pStyle w:val="Level1"/>
        <w:tabs>
          <w:tab w:val="left" w:pos="720" w:leader="none"/>
        </w:tabs>
        <w:ind w:hanging="720" w:start="720" w:end="0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</w:r>
    </w:p>
    <w:p>
      <w:pPr>
        <w:pStyle w:val="Level1"/>
        <w:tabs>
          <w:tab w:val="left" w:pos="720" w:leader="none"/>
        </w:tabs>
        <w:ind w:hanging="720" w:start="720" w:end="0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</w:r>
    </w:p>
    <w:sectPr>
      <w:type w:val="nextPage"/>
      <w:pgSz w:w="12240" w:h="15840"/>
      <w:pgMar w:left="1440" w:right="1440" w:gutter="0" w:header="0" w:top="144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 w:val="false"/>
      <w:jc w:val="center"/>
    </w:pPr>
    <w:rPr>
      <w:rFonts w:ascii="TIMES" w:hAnsi="TIMES" w:cs="TIMES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widowControl w:val="fals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2001-03-02T17:13:00Z</dcterms:created>
  <dc:creator>pkaufma</dc:creator>
  <dc:description/>
  <dc:language>en-CA</dc:language>
  <cp:lastModifiedBy>pkaufma</cp:lastModifiedBy>
  <dcterms:modified xsi:type="dcterms:W3CDTF">2001-03-02T17:14:00Z</dcterms:modified>
  <cp:revision>3</cp:revision>
  <dc:subject/>
  <dc:title>“Coalition for California’s Energy Future”</dc:title>
</cp:coreProperties>
</file>