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start="0" w:end="0"/>
        <w:jc w:val="both"/>
        <w:rPr/>
      </w:pPr>
      <w:r>
        <w:rPr>
          <w:u w:val="single"/>
        </w:rPr>
        <w:t>Question No. 3</w:t>
      </w:r>
      <w:r>
        <w:rPr/>
        <w:t>:</w:t>
        <w:tab/>
        <w:t xml:space="preserve">Explain the logic behind each of the 20 proposed pooling area boundaries.  </w:t>
      </w:r>
    </w:p>
    <w:p>
      <w:pPr>
        <w:pStyle w:val="Normal"/>
        <w:jc w:val="both"/>
        <w:rPr>
          <w:rFonts w:ascii="Arial" w:hAnsi="Arial" w:cs="Arial"/>
        </w:rPr>
      </w:pPr>
      <w:r>
        <w:rPr>
          <w:rFonts w:cs="Arial" w:ascii="Arial" w:hAnsi="Arial"/>
        </w:rPr>
      </w:r>
    </w:p>
    <w:p>
      <w:pPr>
        <w:pStyle w:val="BodyTextIndent"/>
        <w:ind w:hanging="0" w:start="0" w:end="0"/>
        <w:jc w:val="both"/>
        <w:rPr/>
      </w:pPr>
      <w:r>
        <w:rPr>
          <w:u w:val="single"/>
        </w:rPr>
        <w:t>Response No. 3</w:t>
      </w:r>
      <w:r>
        <w:rPr/>
        <w:t>:</w:t>
        <w:tab/>
        <w:t>El Paso has defined 20 proposed pooling areas as receipt points in recognition of the pipeline’s configuration and pipeline operational realities.  El Paso has provided for the smallest possible rational number of pools, thereby helping to support liquidity while still recognizing the operational feasibility of scheduling such pools given potential system constraint points.</w:t>
      </w:r>
    </w:p>
    <w:p>
      <w:pPr>
        <w:pStyle w:val="BodyTextIndent"/>
        <w:ind w:hanging="0" w:start="0" w:end="0"/>
        <w:jc w:val="both"/>
        <w:rPr/>
      </w:pPr>
      <w:r>
        <w:rPr/>
      </w:r>
    </w:p>
    <w:p>
      <w:pPr>
        <w:pStyle w:val="BodyTextIndent"/>
        <w:ind w:hanging="0" w:start="0" w:end="0"/>
        <w:jc w:val="both"/>
        <w:rPr/>
      </w:pPr>
      <w:r>
        <w:rPr/>
        <w:t xml:space="preserve">El Paso set the boundaries for its proposed pooling areas by analyzing supply areas on its system and determining those segments that could be grouped together as having similar operational characteristics.  The main criterion in defining “similar operational characteristics” was the requirement that, if a constraint were to occur at the pooling area boundary as a result of a facility outage or some other physical factor, all shippers within that pooling area would be similarly impacted by the resolution of the constraint.  To satisfy this criterion, El Paso established the downstream boundary of the pooling areas at locations that typically represent the location at which the upstream receipt points begin to compete for the operationally available capacity.  </w:t>
      </w:r>
    </w:p>
    <w:p>
      <w:pPr>
        <w:pStyle w:val="BodyTextIndent"/>
        <w:ind w:start="0" w:end="0"/>
        <w:jc w:val="both"/>
        <w:rPr/>
      </w:pPr>
      <w:r>
        <w:rPr/>
        <w:tab/>
      </w:r>
    </w:p>
    <w:p>
      <w:pPr>
        <w:pStyle w:val="BodyTextIndent"/>
        <w:ind w:hanging="0" w:start="0" w:end="0"/>
        <w:jc w:val="both"/>
        <w:rPr/>
      </w:pPr>
      <w:r>
        <w:rPr/>
        <w:t>For example, El Paso divided the existing Bondad pooling area into two new pooling areas, one upstream of the Bondad compressor station and the other downstream of it.  If one of the turbines at the compressor station is out of service for some reason on a given day, the shippers in the pooling area upstream of the compressor station will all experience a pro rata allocation to reflect the reduced capacity at the station.  Because poolers in the two pooling areas will submit separate priority rankings for each area, it will be much easier for shippers and poolers to understand why their rankings were not followed on a given day.</w:t>
      </w:r>
    </w:p>
    <w:p>
      <w:pPr>
        <w:pStyle w:val="BodyTextIndent"/>
        <w:ind w:start="0" w:end="0"/>
        <w:jc w:val="both"/>
        <w:rPr/>
      </w:pPr>
      <w:r>
        <w:rPr/>
      </w:r>
    </w:p>
    <w:p>
      <w:pPr>
        <w:pStyle w:val="BodyTextIndent"/>
        <w:ind w:hanging="0" w:start="0" w:end="0"/>
        <w:jc w:val="both"/>
        <w:rPr/>
      </w:pPr>
      <w:r>
        <w:rPr/>
        <w:t xml:space="preserve">One advantage of expanding the number of pooling areas from 6 to 20 is the increase in certainty that shippers will experience in planning their daily business transactions.  Systemwide receipt points have given shippers a lot of flexibility but a substantial amount of uncertainty as to whether they will actually be able to flow their full nominated volumes or will be allocated due to the “popularity” of the basin from which they are seeking to source their gas.  If El Paso goes from systemwide receipt points to 6 pooling areas as receipt points, there will be increased predictability in the daily scheduling process, but some of the aspects of systemwide receipt points will still exist.  </w:t>
      </w:r>
    </w:p>
    <w:p>
      <w:pPr>
        <w:pStyle w:val="BodyTextIndent"/>
        <w:jc w:val="both"/>
        <w:rPr/>
      </w:pPr>
      <w:r>
        <w:rPr/>
      </w:r>
    </w:p>
    <w:p>
      <w:pPr>
        <w:pStyle w:val="BodyTextIndent"/>
        <w:ind w:hanging="0" w:start="0" w:end="0"/>
        <w:jc w:val="both"/>
        <w:rPr/>
      </w:pPr>
      <w:r>
        <w:rPr/>
        <w:t>Again using the Bondad pool as an example, if this pool is not split up at the Bondad station, El Paso will allocate receipt points rights from the Bondad pool equal to the total takeaway capacity.  Shippers using the Bondad pool as a receipt point will not know, from day to day, how many of them are seeking to flow gas from sources upstream of the Bondad Station and how many from downstream.  If most or all choose to go upstream on any given day, the capacity limitations of the compression facilities will determine how much gas can flow from that pool, and pro rata allocations will occur because of the purchasing patterns of the shippers.  On the other hand, if the Bondad pool is split into two, with identified rights in the upstream pooling area and identified rights in the downstream pooling area, then the purchasing patterns of the shippers in the two pools become virtually non-issues, except perhaps at individual receipt points within the pools.</w:t>
      </w:r>
    </w:p>
    <w:p>
      <w:pPr>
        <w:pStyle w:val="BodyTextIndent"/>
        <w:jc w:val="both"/>
        <w:rPr/>
      </w:pPr>
      <w:r>
        <w:rPr/>
      </w:r>
    </w:p>
    <w:p>
      <w:pPr>
        <w:pStyle w:val="BodyTextIndent"/>
        <w:ind w:start="0" w:end="0"/>
        <w:jc w:val="both"/>
        <w:rPr/>
      </w:pPr>
      <w:r>
        <w:rPr/>
        <w:tab/>
        <w:t>By identifying the points on the system where physical constraints due to operational considerations are most likely to occur in the future and establishing pooling boundaries on that basis, El Paso arrived at its 20 proposed pooling areas to use as receipt points.  This number strikes what El Paso sees as a reasonable balance between flexibility and liquidity on the one hand and certainty and reliability on the other.</w:t>
      </w:r>
    </w:p>
    <w:p>
      <w:pPr>
        <w:pStyle w:val="Normal"/>
        <w:jc w:val="both"/>
        <w:rPr/>
      </w:pPr>
      <w:r>
        <w:rPr/>
      </w:r>
    </w:p>
    <w:p>
      <w:pPr>
        <w:pStyle w:val="Normal"/>
        <w:jc w:val="both"/>
        <w:rPr>
          <w:rFonts w:ascii="Arial" w:hAnsi="Arial" w:cs="Arial"/>
        </w:rPr>
      </w:pPr>
      <w:r>
        <w:rPr>
          <w:rFonts w:cs="Arial" w:ascii="Arial" w:hAnsi="Arial"/>
        </w:rPr>
        <w:t>The table below enumerates the 20 proposed pooling areas:</w:t>
      </w:r>
    </w:p>
    <w:p>
      <w:pPr>
        <w:pStyle w:val="Normal"/>
        <w:jc w:val="both"/>
        <w:rPr>
          <w:rFonts w:ascii="Arial" w:hAnsi="Arial" w:cs="Arial"/>
        </w:rPr>
      </w:pPr>
      <w:r>
        <w:rPr>
          <w:rFonts w:cs="Arial" w:ascii="Arial" w:hAnsi="Arial"/>
        </w:rPr>
      </w:r>
    </w:p>
    <w:tbl>
      <w:tblPr>
        <w:tblW w:w="8856" w:type="dxa"/>
        <w:jc w:val="start"/>
        <w:tblInd w:w="0" w:type="dxa"/>
        <w:tblLayout w:type="fixed"/>
        <w:tblCellMar>
          <w:top w:w="0" w:type="dxa"/>
          <w:start w:w="108" w:type="dxa"/>
          <w:bottom w:w="0" w:type="dxa"/>
          <w:end w:w="108" w:type="dxa"/>
        </w:tblCellMar>
      </w:tblPr>
      <w:tblGrid>
        <w:gridCol w:w="468"/>
        <w:gridCol w:w="1980"/>
        <w:gridCol w:w="6408"/>
      </w:tblGrid>
      <w:tr>
        <w:trPr/>
        <w:tc>
          <w:tcPr>
            <w:tcW w:w="46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Pooling area</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General Description of Similarities</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Bondad Station</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Receipt points upstream of the Bondad Station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2</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Bondad Mainline</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Receipt points between Bondad Station and the San Juan Triangle</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Rio Vista</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Receipt points upstream of the Rio Vista Station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Blanco</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 xml:space="preserve">Receipt points on the San Juan Triangle upstream of the Gallup Station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5</w:t>
            </w:r>
            <w:r>
              <w:rPr>
                <w:rFonts w:eastAsia="Arial" w:cs="Arial" w:ascii="Arial" w:hAnsi="Arial"/>
                <w:sz w:val="22"/>
                <w:szCs w:val="8"/>
              </w:rPr>
              <w:t xml:space="preserve"> </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Laguna</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 xml:space="preserve">Receipt points on the west end of the Permian San Juan Crossover in the vicinity of </w:t>
            </w:r>
            <w:r>
              <w:rPr>
                <w:rFonts w:eastAsia="Arial" w:cs="Arial" w:ascii="Arial" w:hAnsi="Arial"/>
                <w:sz w:val="22"/>
                <w:szCs w:val="8"/>
              </w:rPr>
              <w:t>Laguna Station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6</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Plains</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 xml:space="preserve">Receipt points on the east end of the Permian San Juan Crossover and the south end of the Plains to Dumas line in the general vicinity of </w:t>
            </w:r>
            <w:r>
              <w:rPr>
                <w:rFonts w:eastAsia="Arial" w:cs="Arial" w:ascii="Arial" w:hAnsi="Arial"/>
                <w:sz w:val="22"/>
                <w:szCs w:val="8"/>
              </w:rPr>
              <w:t>Plains Station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7</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Dimmitt</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Receipt points on the Plains to Dumas line in the vicinity of Dimmitt Station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8</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Dumas</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 xml:space="preserve">Receipt points on the Anadarko lines between </w:t>
            </w:r>
            <w:r>
              <w:rPr>
                <w:rFonts w:eastAsia="Arial" w:cs="Arial" w:ascii="Arial" w:hAnsi="Arial"/>
                <w:sz w:val="22"/>
                <w:szCs w:val="8"/>
              </w:rPr>
              <w:t>Dumas and Shafer Stations</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9</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Shafer</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 xml:space="preserve">Receipt points on the Anadarko lines east of </w:t>
            </w:r>
            <w:r>
              <w:rPr>
                <w:rFonts w:eastAsia="Arial" w:cs="Arial" w:ascii="Arial" w:hAnsi="Arial"/>
                <w:sz w:val="22"/>
                <w:szCs w:val="8"/>
              </w:rPr>
              <w:t xml:space="preserve">Shafer Station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Cornudas</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 xml:space="preserve">Receipt points on the southern mainline in the vicinity of </w:t>
            </w:r>
            <w:r>
              <w:rPr>
                <w:rFonts w:eastAsia="Arial" w:cs="Arial" w:ascii="Arial" w:hAnsi="Arial"/>
                <w:sz w:val="22"/>
                <w:szCs w:val="8"/>
              </w:rPr>
              <w:t xml:space="preserve">Cornudas Station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11</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Eunice</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 xml:space="preserve">Receipt points in the immediate vicinity of and upstream of the </w:t>
            </w:r>
            <w:r>
              <w:rPr>
                <w:rFonts w:eastAsia="Arial" w:cs="Arial" w:ascii="Arial" w:hAnsi="Arial"/>
                <w:sz w:val="22"/>
                <w:szCs w:val="8"/>
              </w:rPr>
              <w:t>Eunice Station</w:t>
            </w:r>
          </w:p>
        </w:tc>
      </w:tr>
    </w:tbl>
    <w:p>
      <w:pPr>
        <w:pStyle w:val="Normal"/>
        <w:rPr/>
      </w:pPr>
      <w:r>
        <w:br w:type="page"/>
      </w:r>
      <w:r>
        <w:rPr/>
      </w:r>
    </w:p>
    <w:tbl>
      <w:tblPr>
        <w:tblW w:w="8856" w:type="dxa"/>
        <w:jc w:val="start"/>
        <w:tblInd w:w="0" w:type="dxa"/>
        <w:tblLayout w:type="fixed"/>
        <w:tblCellMar>
          <w:top w:w="0" w:type="dxa"/>
          <w:start w:w="108" w:type="dxa"/>
          <w:bottom w:w="0" w:type="dxa"/>
          <w:end w:w="108" w:type="dxa"/>
        </w:tblCellMar>
      </w:tblPr>
      <w:tblGrid>
        <w:gridCol w:w="468"/>
        <w:gridCol w:w="1980"/>
        <w:gridCol w:w="6408"/>
      </w:tblGrid>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12</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Goldsmith</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 xml:space="preserve">Receipt points along the Snyder line and Goldsmith 20” Systems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13</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Sweetie Peck</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 xml:space="preserve">Receipt points along the eastern end of the Sutton County line </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14</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Midkiff</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Receipt points along the Jameson line upstream of Sweetie Peck Junction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15</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Monument</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 xml:space="preserve">Receipt points upstream of </w:t>
            </w:r>
            <w:r>
              <w:rPr>
                <w:rFonts w:eastAsia="Arial" w:cs="Arial" w:ascii="Arial" w:hAnsi="Arial"/>
                <w:sz w:val="22"/>
                <w:szCs w:val="8"/>
              </w:rPr>
              <w:t>Monument Station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16</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Pecos</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 xml:space="preserve">Receipt points on the southern mainline between the Keystone, Eunice and Pecos </w:t>
            </w:r>
            <w:r>
              <w:rPr>
                <w:rFonts w:eastAsia="Arial" w:cs="Arial" w:ascii="Arial" w:hAnsi="Arial"/>
                <w:sz w:val="22"/>
                <w:szCs w:val="8"/>
              </w:rPr>
              <w:t>River Stations</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17</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eastAsia="Arial" w:cs="Arial" w:ascii="Arial" w:hAnsi="Arial"/>
                <w:sz w:val="22"/>
                <w:szCs w:val="8"/>
              </w:rPr>
              <w:t>Keystone</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 xml:space="preserve">Receipt points in the vicinity of and on the upstream side of the </w:t>
            </w:r>
            <w:r>
              <w:rPr>
                <w:rFonts w:eastAsia="Arial" w:cs="Arial" w:ascii="Arial" w:hAnsi="Arial"/>
                <w:sz w:val="22"/>
                <w:szCs w:val="8"/>
              </w:rPr>
              <w:t>Keystone Station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18</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eastAsia="Arial" w:cs="Arial"/>
                <w:sz w:val="22"/>
                <w:szCs w:val="8"/>
              </w:rPr>
            </w:pPr>
            <w:r>
              <w:rPr>
                <w:rFonts w:eastAsia="Arial" w:cs="Arial" w:ascii="Arial" w:hAnsi="Arial"/>
                <w:sz w:val="22"/>
                <w:szCs w:val="8"/>
              </w:rPr>
              <w:t>Puckett</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sz w:val="22"/>
              </w:rPr>
              <w:t xml:space="preserve">Receipt points in the vicinity of and on the upstream side of </w:t>
            </w:r>
            <w:r>
              <w:rPr>
                <w:rFonts w:eastAsia="Arial" w:cs="Arial" w:ascii="Arial" w:hAnsi="Arial"/>
                <w:sz w:val="22"/>
                <w:szCs w:val="8"/>
              </w:rPr>
              <w:t>Puckett Station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19</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eastAsia="Arial" w:cs="Arial"/>
                <w:sz w:val="22"/>
                <w:szCs w:val="8"/>
              </w:rPr>
            </w:pPr>
            <w:r>
              <w:rPr>
                <w:rFonts w:eastAsia="Arial" w:cs="Arial" w:ascii="Arial" w:hAnsi="Arial"/>
                <w:sz w:val="22"/>
                <w:szCs w:val="8"/>
              </w:rPr>
              <w:t>Waha</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sz w:val="22"/>
              </w:rPr>
              <w:t xml:space="preserve">Receipt points in the vicinity of </w:t>
            </w:r>
            <w:r>
              <w:rPr>
                <w:rFonts w:eastAsia="Arial" w:cs="Arial" w:ascii="Arial" w:hAnsi="Arial"/>
                <w:sz w:val="22"/>
                <w:szCs w:val="8"/>
              </w:rPr>
              <w:t>Waha Station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2"/>
              </w:rPr>
            </w:pPr>
            <w:r>
              <w:rPr>
                <w:rFonts w:cs="Arial" w:ascii="Arial" w:hAnsi="Arial"/>
                <w:sz w:val="22"/>
              </w:rPr>
              <w:t>20</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eastAsia="Arial" w:cs="Arial"/>
                <w:sz w:val="22"/>
                <w:szCs w:val="8"/>
              </w:rPr>
            </w:pPr>
            <w:r>
              <w:rPr>
                <w:rFonts w:eastAsia="Arial" w:cs="Arial" w:ascii="Arial" w:hAnsi="Arial"/>
                <w:sz w:val="22"/>
                <w:szCs w:val="8"/>
              </w:rPr>
              <w:t>McCamey</w:t>
            </w:r>
          </w:p>
        </w:tc>
        <w:tc>
          <w:tcPr>
            <w:tcW w:w="640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eastAsia="Arial" w:cs="Arial"/>
                <w:sz w:val="22"/>
                <w:szCs w:val="8"/>
              </w:rPr>
            </w:pPr>
            <w:r>
              <w:rPr>
                <w:rFonts w:eastAsia="Arial" w:cs="Arial" w:ascii="Arial" w:hAnsi="Arial"/>
                <w:sz w:val="22"/>
                <w:szCs w:val="8"/>
              </w:rPr>
              <w:t>To provide for potential interconnects along the east end of Line No. 2000</w:t>
            </w:r>
          </w:p>
        </w:tc>
      </w:tr>
    </w:tbl>
    <w:p>
      <w:pPr>
        <w:pStyle w:val="Normal"/>
        <w:jc w:val="both"/>
        <w:rPr>
          <w:rFonts w:ascii="Arial" w:hAnsi="Arial" w:cs="Arial"/>
        </w:rPr>
      </w:pPr>
      <w:r>
        <w:rPr>
          <w:rFonts w:cs="Arial" w:ascii="Arial" w:hAnsi="Arial"/>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jc w:val="center"/>
      <w:rPr>
        <w:b w:val="false"/>
        <w:bCs w:val="false"/>
        <w:sz w:val="24"/>
      </w:rPr>
    </w:pPr>
    <w:r>
      <w:rPr>
        <w:b w:val="false"/>
        <w:bCs w:val="false"/>
        <w:sz w:val="24"/>
      </w:rPr>
      <w:t xml:space="preserve">El Paso Natural Gas Company </w:t>
    </w:r>
  </w:p>
  <w:p>
    <w:pPr>
      <w:pStyle w:val="Heading1"/>
      <w:jc w:val="center"/>
      <w:rPr>
        <w:b w:val="false"/>
        <w:bCs w:val="false"/>
        <w:sz w:val="24"/>
      </w:rPr>
    </w:pPr>
    <w:r>
      <w:rPr>
        <w:b w:val="false"/>
        <w:bCs w:val="false"/>
        <w:sz w:val="24"/>
      </w:rPr>
      <w:t>Responses to Questions Raised at</w:t>
    </w:r>
  </w:p>
  <w:p>
    <w:pPr>
      <w:pStyle w:val="Normal"/>
      <w:jc w:val="center"/>
      <w:rPr>
        <w:rFonts w:ascii="Arial" w:hAnsi="Arial" w:cs="Arial"/>
      </w:rPr>
    </w:pPr>
    <w:r>
      <w:rPr>
        <w:rFonts w:cs="Arial" w:ascii="Arial" w:hAnsi="Arial"/>
      </w:rPr>
      <w:t>Docket No. RP00-336-000, et al. Technical Conference</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Head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180" w:end="0"/>
      <w:outlineLvl w:val="0"/>
    </w:pPr>
    <w:rPr>
      <w:rFonts w:ascii="Arial" w:hAnsi="Arial" w:eastAsia="Arial Unicode MS" w:cs="Arial"/>
      <w:b/>
      <w:bCs/>
      <w:sz w:val="28"/>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360" w:start="360" w:end="0"/>
    </w:pPr>
    <w:rPr>
      <w:rFonts w:ascii="Arial" w:hAnsi="Arial" w:cs="Arial"/>
    </w:rPr>
  </w:style>
  <w:style w:type="paragraph" w:styleId="CommentText">
    <w:name w:val="Comment Text"/>
    <w:basedOn w:val="Normal"/>
    <w:qFormat/>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2001-08-22T19:44:00Z</dcterms:created>
  <dc:creator>El Paso Energy Corp</dc:creator>
  <dc:description/>
  <dc:language>en-CA</dc:language>
  <cp:lastModifiedBy>El Paso Energy Corp</cp:lastModifiedBy>
  <cp:lastPrinted>2001-08-22T16:23:00Z</cp:lastPrinted>
  <dcterms:modified xsi:type="dcterms:W3CDTF">2001-08-22T19:53:00Z</dcterms:modified>
  <cp:revision>3</cp:revision>
  <dc:subject/>
  <dc:title>Question No</dc:title>
</cp:coreProperties>
</file>