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val="false"/>
        </w:rPr>
      </w:pPr>
      <w:r>
        <w:rPr>
          <w:b w:val="false"/>
          <w:bCs w:val="false"/>
        </w:rPr>
      </w:r>
    </w:p>
    <w:p>
      <w:pPr>
        <w:pStyle w:val="Heading1"/>
        <w:ind w:hanging="0" w:start="0"/>
        <w:rPr>
          <w:b w:val="false"/>
          <w:bCs w:val="false"/>
        </w:rPr>
      </w:pPr>
      <w:r>
        <w:rPr>
          <w:b w:val="false"/>
          <w:bCs w:val="false"/>
        </w:rPr>
      </w:r>
    </w:p>
    <w:p>
      <w:pPr>
        <w:pStyle w:val="Heading1"/>
        <w:ind w:hanging="0" w:start="0"/>
        <w:rPr>
          <w:b w:val="false"/>
          <w:bCs w:val="false"/>
        </w:rPr>
      </w:pPr>
      <w:r>
        <w:rPr>
          <w:b w:val="false"/>
          <w:bCs w:val="false"/>
        </w:rPr>
      </w:r>
    </w:p>
    <w:p>
      <w:pPr>
        <w:pStyle w:val="Heading1"/>
        <w:ind w:hanging="0" w:start="0"/>
        <w:rPr>
          <w:b w:val="false"/>
          <w:bCs w:val="false"/>
        </w:rPr>
      </w:pPr>
      <w:r>
        <w:rPr>
          <w:b w:val="false"/>
          <w:bCs w:val="false"/>
        </w:rPr>
        <w:tab/>
        <w:tab/>
        <w:tab/>
        <w:tab/>
        <w:tab/>
        <w:tab/>
        <w:t>January __, 2002</w:t>
      </w:r>
    </w:p>
    <w:p>
      <w:pPr>
        <w:pStyle w:val="Heading1"/>
        <w:ind w:hanging="0" w:start="0"/>
        <w:rPr>
          <w:b w:val="false"/>
          <w:bCs w:val="false"/>
        </w:rPr>
      </w:pPr>
      <w:r>
        <w:rPr>
          <w:b w:val="false"/>
          <w:bCs w:val="false"/>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
    </w:p>
    <w:p>
      <w:pPr>
        <w:pStyle w:val="Heading1"/>
        <w:ind w:hanging="0" w:start="0"/>
        <w:rPr/>
      </w:pPr>
      <w:r>
        <w:rPr/>
        <w:t>TO ALL DVC MEMBERS</w:t>
      </w:r>
    </w:p>
    <w:p>
      <w:pPr>
        <w:pStyle w:val="Normal"/>
        <w:rPr/>
      </w:pPr>
      <w:r>
        <w:rPr/>
      </w:r>
    </w:p>
    <w:p>
      <w:pPr>
        <w:pStyle w:val="Normal"/>
        <w:rPr/>
      </w:pPr>
      <w:r>
        <w:rPr/>
        <w:t>This letter is to notify all members of the Data Verification Committee (“DVC”) that it is necessary to make one modification to the Index of Entitlements that was recently circulated for your approval.  The change involves the party that qualifies for Priority 2 Exempt Uses for the City of Madison.  TECO Gas Services, Inc. filed to qualify the Priority 2 Exempt uses at the City of Madison delivery point.  The uses properly qualified as Priority 2 Exempt Uses and the DVC approved these uses for listing in the new Index of Requirements.  However, it has come to the attention of Florida Gas Transmission Company (“FGT”) that TECO Gas Services, Inc. does not qualify as a party whose gas could be scheduled during a curtailment of firm service.  This is true because TECO Gas Services, Inc. does not hold primary-firm capacity at the Madison delivery point.  Therefore, pursuant to the scheduling priorities set forth in Section 10.C.1 of the General Terms and Conditions of the FGT FERC Gas Tariff, FGT could not schedule gas for TECO Gas Services, Inc. if any primary firm service was being curtailed.  Therefore, the shipper, which does hold primary firm capacity at the delivery point, is being designated as the properly qualifying party.  The primary, firm capacity at the Madison point, which is available to serve the Priority 2 volume, is held Enron North America Corp.  The Priority 2 Exempt Use volumes will remain the same.</w:t>
      </w:r>
    </w:p>
    <w:p>
      <w:pPr>
        <w:pStyle w:val="Normal"/>
        <w:rPr/>
      </w:pPr>
      <w:r>
        <w:rPr/>
      </w:r>
    </w:p>
    <w:p>
      <w:pPr>
        <w:pStyle w:val="Normal"/>
        <w:rPr/>
      </w:pPr>
      <w:r>
        <w:rPr/>
        <w:t>In this regard, please remember that, unless a temporary release of capacity specifies otherwise, the rights to serve Exempt Uses are not released and remain with the releasing shipper.  To release the right to serve Exempt Uses, the release would have to be of primary, firm capacity.</w:t>
      </w:r>
    </w:p>
    <w:p>
      <w:pPr>
        <w:pStyle w:val="Normal"/>
        <w:rPr/>
      </w:pPr>
      <w:r>
        <w:rPr/>
      </w:r>
    </w:p>
    <w:p>
      <w:pPr>
        <w:pStyle w:val="Normal"/>
        <w:rPr/>
      </w:pPr>
      <w:r>
        <w:rPr/>
        <w:t>If we do not receive any comments by February __, 2002, we will assume that there are no objections and file the new Index of Requirements with the FERC.</w:t>
      </w:r>
    </w:p>
    <w:p>
      <w:pPr>
        <w:pStyle w:val="Normal"/>
        <w:rPr/>
      </w:pPr>
      <w:r>
        <w:rPr/>
      </w:r>
    </w:p>
    <w:p>
      <w:pPr>
        <w:pStyle w:val="Normal"/>
        <w:rPr/>
      </w:pPr>
      <w:r>
        <w:rPr/>
      </w:r>
    </w:p>
    <w:p>
      <w:pPr>
        <w:pStyle w:val="Normal"/>
        <w:rPr/>
      </w:pPr>
      <w:r>
        <w:rPr/>
        <w:tab/>
        <w:tab/>
        <w:tab/>
        <w:tab/>
        <w:tab/>
        <w:tab/>
        <w:t>Sincerely,</w:t>
      </w:r>
    </w:p>
    <w:p>
      <w:pPr>
        <w:pStyle w:val="Normal"/>
        <w:rPr/>
      </w:pPr>
      <w:r>
        <w:rPr/>
      </w:r>
    </w:p>
    <w:p>
      <w:pPr>
        <w:pStyle w:val="Normal"/>
        <w:rPr/>
      </w:pPr>
      <w:r>
        <w:rPr/>
      </w:r>
    </w:p>
    <w:p>
      <w:pPr>
        <w:pStyle w:val="Normal"/>
        <w:rPr/>
      </w:pPr>
      <w:r>
        <w:rPr/>
      </w:r>
    </w:p>
    <w:p>
      <w:pPr>
        <w:pStyle w:val="Normal"/>
        <w:ind w:firstLine="720" w:start="3600" w:end="0"/>
        <w:rPr/>
      </w:pPr>
      <w:r>
        <w:rPr/>
        <w:t>Thomas L. Nestor II</w:t>
      </w:r>
    </w:p>
    <w:p>
      <w:pPr>
        <w:pStyle w:val="Normal"/>
        <w:ind w:start="4320" w:end="0"/>
        <w:rPr/>
      </w:pPr>
      <w:r>
        <w:rPr/>
        <w:t>Secretary, DVC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2002-01-18T14:51:00Z</dcterms:created>
  <dc:creator>fking</dc:creator>
  <dc:description/>
  <dc:language>en-CA</dc:language>
  <cp:lastModifiedBy>fking</cp:lastModifiedBy>
  <dcterms:modified xsi:type="dcterms:W3CDTF">2002-01-29T18:03:00Z</dcterms:modified>
  <cp:revision>8</cp:revision>
  <dc:subject/>
  <dc:title>TO ALL PERMANENT FIRM SHIPPERS</dc:title>
</cp:coreProperties>
</file>