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Heading1"/>
        <w:ind w:hanging="0" w:start="0"/>
        <w:rPr>
          <w:sz w:val="18"/>
        </w:rPr>
      </w:pPr>
      <w:r>
        <w:rPr>
          <w:sz w:val="18"/>
        </w:rPr>
        <w:t>ALBERTA NEWSPRINT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$10,000,000 with respect to Counterparty, $100,000,000 with respect to ENA, or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keepNext w:val="true"/>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shall have any of the following occur at any time:  (i) the ratio of its Total Debt to Net Worth is more than .5 to 1, or (ii) its Net Worth falls below U.S. $140,000,000; or (b) with respect to ENA, its Credit Support Provider’s Credit Rating is below “BBB-” by S&amp;P.</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spacing w:lineRule="atLeast" w:line="240"/>
        <w:ind w:start="360" w:end="144"/>
        <w:jc w:val="both"/>
        <w:rPr/>
      </w:pPr>
      <w:r>
        <w:rPr>
          <w:rFonts w:cs="Arial Narrow" w:ascii="Arial Narrow" w:hAnsi="Arial Narrow"/>
          <w:sz w:val="18"/>
        </w:rPr>
        <w:t>"</w:t>
      </w:r>
      <w:r>
        <w:rPr>
          <w:rFonts w:cs="Arial Narrow" w:ascii="Arial Narrow" w:hAnsi="Arial Narrow"/>
          <w:i/>
          <w:iCs/>
          <w:sz w:val="18"/>
          <w:szCs w:val="22"/>
          <w:u w:val="single"/>
        </w:rPr>
        <w:t>Total Debt</w:t>
      </w:r>
      <w:r>
        <w:rPr>
          <w:rFonts w:cs="Arial Narrow" w:ascii="Arial Narrow" w:hAnsi="Arial Narrow"/>
          <w:sz w:val="18"/>
        </w:rPr>
        <w:t>"</w:t>
      </w:r>
      <w:r>
        <w:rPr>
          <w:rFonts w:cs="Arial Narrow" w:ascii="Arial Narrow" w:hAnsi="Arial Narrow"/>
          <w:sz w:val="18"/>
          <w:szCs w:val="22"/>
        </w:rPr>
        <w:t xml:space="preserve"> means consolidated indebtedness of </w:t>
      </w:r>
      <w:r>
        <w:rPr>
          <w:rFonts w:cs="Arial Narrow" w:ascii="Arial Narrow" w:hAnsi="Arial Narrow"/>
          <w:sz w:val="18"/>
        </w:rPr>
        <w:t>Counterparty</w:t>
      </w:r>
      <w:r>
        <w:rPr>
          <w:rFonts w:cs="Arial Narrow" w:ascii="Arial Narrow" w:hAnsi="Arial Narrow"/>
          <w:sz w:val="18"/>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szCs w:val="22"/>
          <w:u w:val="single"/>
        </w:rPr>
      </w:pPr>
      <w:r>
        <w:rPr>
          <w:rFonts w:cs="Arial Narrow" w:ascii="Arial Narrow" w:hAnsi="Arial Narrow"/>
          <w:b/>
          <w:sz w:val="18"/>
          <w:szCs w:val="22"/>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keepNext w:val="true"/>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 xml:space="preserve">"Upon written request, each party shall deliver to the other (i) as soon as available and in any event within 120 days after the end of its (or in the case of ENA, </w:t>
      </w:r>
      <w:r>
        <w:rPr>
          <w:rFonts w:cs="Arial Narrow" w:ascii="Arial Narrow" w:hAnsi="Arial Narrow"/>
          <w:sz w:val="18"/>
          <w:szCs w:val="17"/>
        </w:rPr>
        <w:t>its Credit Support Provider's</w:t>
      </w:r>
      <w:r>
        <w:rPr>
          <w:rFonts w:cs="Arial Narrow" w:ascii="Arial Narrow" w:hAnsi="Arial Narrow"/>
          <w:sz w:val="18"/>
        </w:rPr>
        <w:t xml:space="preserve">) fiscal year a copy of its (or in the case of ENA, </w:t>
      </w:r>
      <w:r>
        <w:rPr>
          <w:rFonts w:cs="Arial Narrow" w:ascii="Arial Narrow" w:hAnsi="Arial Narrow"/>
          <w:sz w:val="18"/>
          <w:szCs w:val="17"/>
        </w:rPr>
        <w:t>its Credit Support Provider's</w:t>
      </w:r>
      <w:r>
        <w:rPr>
          <w:rFonts w:cs="Arial Narrow" w:ascii="Arial Narrow" w:hAnsi="Arial Narrow"/>
          <w:sz w:val="18"/>
        </w:rPr>
        <w:t>)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its Credit Support Provider’s annual consolidated financial statements are not available on “EDGAR” or its Credit Support Provider’s home page on the World Wide Web at www.enron.com;  (ii) as soon as available and in any event within sixty (60) days after the end of each of its (or in the case of ENA, </w:t>
      </w:r>
      <w:r>
        <w:rPr>
          <w:rFonts w:cs="Arial Narrow" w:ascii="Arial Narrow" w:hAnsi="Arial Narrow"/>
          <w:sz w:val="18"/>
          <w:szCs w:val="17"/>
        </w:rPr>
        <w:t>its Credit Support Provider's</w:t>
      </w:r>
      <w:r>
        <w:rPr>
          <w:rFonts w:cs="Arial Narrow" w:ascii="Arial Narrow" w:hAnsi="Arial Narrow"/>
          <w:sz w:val="18"/>
        </w:rPr>
        <w:t xml:space="preserve">) first three fiscal quarters of its fiscal year, copies of its (or in the case of ENA, </w:t>
      </w:r>
      <w:r>
        <w:rPr>
          <w:rFonts w:cs="Arial Narrow" w:ascii="Arial Narrow" w:hAnsi="Arial Narrow"/>
          <w:sz w:val="18"/>
          <w:szCs w:val="17"/>
        </w:rPr>
        <w:t>its Credit Support Provider's</w:t>
      </w:r>
      <w:r>
        <w:rPr>
          <w:rFonts w:cs="Arial Narrow" w:ascii="Arial Narrow" w:hAnsi="Arial Narrow"/>
          <w:sz w:val="18"/>
        </w:rPr>
        <w:t xml:space="preserve">)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5.</w:t>
        <w:tab/>
      </w:r>
      <w:r>
        <w:rPr>
          <w:rFonts w:cs="Arial Narrow" w:ascii="Arial Narrow" w:hAnsi="Arial Narrow"/>
          <w:sz w:val="18"/>
          <w:u w:val="single"/>
        </w:rPr>
        <w:t>FOREIGN COUNTERPARTY</w:t>
      </w:r>
      <w:r>
        <w:rPr>
          <w:rFonts w:cs="Arial Narrow" w:ascii="Arial Narrow" w:hAnsi="Arial Narrow"/>
          <w:b/>
          <w:sz w:val="18"/>
        </w:rPr>
        <w:t xml:space="preserve">.  </w:t>
      </w:r>
      <w:r>
        <w:rPr>
          <w:rFonts w:cs="Arial Narrow" w:ascii="Arial Narrow" w:hAnsi="Arial Narrow"/>
          <w:sz w:val="18"/>
        </w:rPr>
        <w:t>Counterparty and ENA agree to the representations, warranties and covenants set forth in the Canadian Annex attached to the Confirmation and agree that such Canadian Annex shall supplement, form part of and be incorporated into the Confirmation.</w:t>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i/>
          <w:iCs/>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i/>
          <w:iCs/>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i/>
          <w:iCs/>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i/>
          <w:iCs/>
          <w:sz w:val="18"/>
          <w:u w:val="single"/>
        </w:rPr>
        <w:t>Exposure Threshold</w:t>
      </w:r>
      <w:r>
        <w:rPr>
          <w:rFonts w:cs="Arial Narrow" w:ascii="Arial Narrow" w:hAnsi="Arial Narrow"/>
          <w:sz w:val="18"/>
        </w:rPr>
        <w:t>" shall mean, with respect to (i) ENA, $15,000,000, and (ii) Counterparty, $12,000,000;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i/>
          <w:iCs/>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i/>
          <w:iCs/>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$250,000,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cause another Issuer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rPr>
        <w:t>[BANK SIGNATURE]</w:t>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ind w:end="180"/>
        <w:jc w:val="center"/>
        <w:rPr>
          <w:rFonts w:ascii="Arial Narrow" w:hAnsi="Arial Narrow" w:cs="Arial Narrow"/>
          <w:b/>
          <w:bCs/>
          <w:sz w:val="18"/>
          <w:szCs w:val="22"/>
        </w:rPr>
      </w:pPr>
      <w:r>
        <w:rPr>
          <w:rFonts w:cs="Arial Narrow" w:ascii="Arial Narrow" w:hAnsi="Arial Narrow"/>
          <w:b/>
          <w:bCs/>
          <w:sz w:val="18"/>
          <w:szCs w:val="22"/>
          <w:u w:val="single"/>
        </w:rPr>
        <w:t>EXHIBIT A</w:t>
      </w:r>
    </w:p>
    <w:p>
      <w:pPr>
        <w:pStyle w:val="Normal"/>
        <w:ind w:end="180"/>
        <w:jc w:val="center"/>
        <w:rPr>
          <w:rFonts w:ascii="Arial Narrow" w:hAnsi="Arial Narrow" w:cs="Arial Narrow"/>
          <w:b/>
          <w:bCs/>
          <w:sz w:val="18"/>
          <w:szCs w:val="22"/>
        </w:rPr>
      </w:pPr>
      <w:r>
        <w:rPr>
          <w:rFonts w:cs="Arial Narrow" w:ascii="Arial Narrow" w:hAnsi="Arial Narrow"/>
          <w:b/>
          <w:bCs/>
          <w:sz w:val="18"/>
          <w:szCs w:val="22"/>
        </w:rPr>
      </w:r>
    </w:p>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(this “Guaranty”), dated effective as of October 12, 2001 (the “Effective Date”),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keepNext w:val="true"/>
        <w:spacing w:lineRule="exact" w:line="240" w:before="480" w:after="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 xml:space="preserve">WHEREAS, ALBERTA NEWSPRINT COMPANY, an Alberta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$17,000,000.</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Alberta Newsprint Company</w:t>
            </w:r>
          </w:p>
        </w:tc>
        <w:tc>
          <w:tcPr>
            <w:tcW w:w="1530"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Postal Bag 900</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Whitecourt, Alberta  T7S 1P9  Canada</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pPr>
            <w:r>
              <w:rPr>
                <w:rFonts w:cs="Arial Narrow" w:ascii="Arial Narrow" w:hAnsi="Arial Narrow"/>
                <w:color w:val="000000"/>
                <w:sz w:val="18"/>
                <w:szCs w:val="22"/>
              </w:rPr>
              <w:t xml:space="preserve">Attn.:  </w:t>
            </w:r>
            <w:r>
              <w:rPr>
                <w:rFonts w:cs="Arial Narrow" w:ascii="Arial Narrow" w:hAnsi="Arial Narrow"/>
                <w:color w:val="000000"/>
                <w:sz w:val="18"/>
                <w:szCs w:val="22"/>
                <w:u w:val="single"/>
              </w:rPr>
              <w:tab/>
            </w:r>
          </w:p>
          <w:p>
            <w:pPr>
              <w:pStyle w:val="Normal"/>
              <w:keepNext w:val="true"/>
              <w:keepLines/>
              <w:tabs>
                <w:tab w:val="clear" w:pos="720"/>
                <w:tab w:val="left" w:pos="3132" w:leader="none"/>
              </w:tabs>
              <w:spacing w:lineRule="atLeast" w:line="240"/>
              <w:rPr>
                <w:rFonts w:ascii="Arial Narrow" w:hAnsi="Arial Narrow" w:cs="Arial Narrow"/>
                <w:color w:val="000000"/>
                <w:sz w:val="18"/>
                <w:szCs w:val="22"/>
                <w:u w:val="single"/>
              </w:rPr>
            </w:pPr>
            <w:r>
              <w:rPr>
                <w:rFonts w:cs="Arial Narrow" w:ascii="Arial Narrow" w:hAnsi="Arial Narrow"/>
                <w:color w:val="000000"/>
                <w:sz w:val="18"/>
                <w:szCs w:val="22"/>
                <w:u w:val="single"/>
              </w:rPr>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 xml:space="preserve">Fax No.:  </w:t>
            </w:r>
            <w:r>
              <w:rPr>
                <w:rFonts w:cs="Arial Narrow" w:ascii="Arial Narrow" w:hAnsi="Arial Narrow"/>
                <w:color w:val="000000"/>
                <w:sz w:val="18"/>
                <w:szCs w:val="22"/>
                <w:u w:val="single"/>
              </w:rPr>
              <w:tab/>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IN WITNESS WHEREOF, the Guarantor has executed this Guaranty on October __, 2001, but it is effective as of the Effective Date.</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p>
      <w:pPr>
        <w:pStyle w:val="Normal"/>
        <w:tabs>
          <w:tab w:val="clear" w:pos="720"/>
          <w:tab w:val="left" w:pos="4320" w:leader="none"/>
          <w:tab w:val="left" w:pos="5040" w:leader="none"/>
          <w:tab w:val="left" w:pos="5760" w:leader="none"/>
        </w:tabs>
        <w:ind w:start="5040" w:end="0"/>
        <w:rPr>
          <w:rFonts w:ascii="Arial Narrow" w:hAnsi="Arial Narrow" w:cs="Arial Narrow"/>
          <w:sz w:val="18"/>
          <w:szCs w:val="22"/>
        </w:rPr>
      </w:pPr>
      <w:r>
        <w:rPr>
          <w:rFonts w:cs="Arial Narrow" w:ascii="Arial Narrow" w:hAnsi="Arial Narrow"/>
          <w:sz w:val="18"/>
          <w:szCs w:val="22"/>
        </w:rPr>
      </w:r>
    </w:p>
    <w:sectPr>
      <w:footerReference w:type="default" r:id="rId7"/>
      <w:footerReference w:type="first" r:id="rId8"/>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/mnt/main-storage/datasets/enron-docs/doc/029conf_alberta_newsprint_.doc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2001-10-15T19:59:00Z</dcterms:created>
  <dc:creator>mheard</dc:creator>
  <dc:description/>
  <dc:language>en-CA</dc:language>
  <cp:lastModifiedBy>mheard</cp:lastModifiedBy>
  <cp:lastPrinted>2001-10-16T09:36:00Z</cp:lastPrinted>
  <dcterms:modified xsi:type="dcterms:W3CDTF">2001-10-16T12:06:00Z</dcterms:modified>
  <cp:revision>4</cp:revision>
  <dc:subject/>
  <dc:title>DRAFT OF 10/15/99</dc:title>
</cp:coreProperties>
</file>