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t>FIRST AMENDMENT TO ISDA MASTER AGREEMENT</w:t>
      </w:r>
    </w:p>
    <w:p>
      <w:pPr>
        <w:pStyle w:val="Heading"/>
        <w:rPr>
          <w:sz w:val="20"/>
        </w:rPr>
      </w:pPr>
      <w:r>
        <w:rPr>
          <w:sz w:val="20"/>
        </w:rPr>
      </w:r>
    </w:p>
    <w:p>
      <w:pPr>
        <w:pStyle w:val="Heading"/>
        <w:rPr>
          <w:sz w:val="20"/>
        </w:rPr>
      </w:pPr>
      <w:r>
        <w:rPr>
          <w:sz w:val="20"/>
        </w:rPr>
      </w:r>
    </w:p>
    <w:p>
      <w:pPr>
        <w:pStyle w:val="Normal"/>
        <w:rPr>
          <w:sz w:val="20"/>
        </w:rPr>
      </w:pPr>
      <w:r>
        <w:rPr>
          <w:sz w:val="20"/>
        </w:rPr>
      </w:r>
    </w:p>
    <w:p>
      <w:pPr>
        <w:pStyle w:val="Normal"/>
        <w:jc w:val="both"/>
        <w:rPr>
          <w:sz w:val="20"/>
        </w:rPr>
      </w:pPr>
      <w:r>
        <w:rPr>
          <w:sz w:val="20"/>
        </w:rPr>
        <w:t>This First Amendment to ISDA Master Agreement dated effective as of September 21, 2001, (this “Amendment”), is made and entered into by and between Merced Irrigation District (“Counterparty”); Enron North America Corp. (f/k/a Enron Capital &amp; Trade Resources Corp. (“ENA”)); and Enron Corp. (“ENA’s Credit Support Provider”).</w:t>
      </w:r>
    </w:p>
    <w:p>
      <w:pPr>
        <w:pStyle w:val="Normal"/>
        <w:jc w:val="both"/>
        <w:rPr>
          <w:sz w:val="20"/>
        </w:rPr>
      </w:pPr>
      <w:r>
        <w:rPr>
          <w:sz w:val="20"/>
        </w:rPr>
      </w:r>
    </w:p>
    <w:p>
      <w:pPr>
        <w:pStyle w:val="Normal"/>
        <w:jc w:val="both"/>
        <w:rPr>
          <w:sz w:val="20"/>
        </w:rPr>
      </w:pPr>
      <w:r>
        <w:rPr>
          <w:sz w:val="20"/>
        </w:rPr>
        <w:tab/>
        <w:t>WHEREAS, Counterparty and ENA entered into that certain ISDA Master Agreement dated as of March 25, 1999, as same may have from time to time been modified, amended and supplemented  (the “Master Agreement”);</w:t>
      </w:r>
    </w:p>
    <w:p>
      <w:pPr>
        <w:pStyle w:val="Normal"/>
        <w:jc w:val="both"/>
        <w:rPr>
          <w:sz w:val="20"/>
        </w:rPr>
      </w:pPr>
      <w:r>
        <w:rPr>
          <w:sz w:val="20"/>
        </w:rPr>
      </w:r>
    </w:p>
    <w:p>
      <w:pPr>
        <w:pStyle w:val="BodyText3"/>
        <w:rPr/>
      </w:pPr>
      <w:r>
        <w:rPr/>
        <w:tab/>
        <w:t>WHEREAS, Enron Corp. (“Enron”) guaranteed the obligations of ENA under the Master Agreement pursuant to that certain Guaranty (the “Enron Guaranty”) dated March 25, 1999;</w:t>
      </w:r>
    </w:p>
    <w:p>
      <w:pPr>
        <w:pStyle w:val="Normal"/>
        <w:jc w:val="both"/>
        <w:rPr>
          <w:sz w:val="20"/>
        </w:rPr>
      </w:pPr>
      <w:r>
        <w:rPr>
          <w:sz w:val="20"/>
        </w:rPr>
      </w:r>
    </w:p>
    <w:p>
      <w:pPr>
        <w:pStyle w:val="Normal"/>
        <w:jc w:val="both"/>
        <w:rPr>
          <w:sz w:val="20"/>
        </w:rPr>
      </w:pPr>
      <w:r>
        <w:rPr>
          <w:sz w:val="20"/>
        </w:rPr>
        <w:tab/>
        <w:t>WHEREAS, the parties hereto desire to amend the Master Agreement and the Enron Guaranty as provided herein;</w:t>
      </w:r>
    </w:p>
    <w:p>
      <w:pPr>
        <w:pStyle w:val="Normal"/>
        <w:jc w:val="both"/>
        <w:rPr>
          <w:sz w:val="20"/>
        </w:rPr>
      </w:pPr>
      <w:r>
        <w:rPr>
          <w:sz w:val="20"/>
        </w:rPr>
      </w:r>
    </w:p>
    <w:p>
      <w:pPr>
        <w:pStyle w:val="Normal"/>
        <w:jc w:val="both"/>
        <w:rPr>
          <w:sz w:val="20"/>
        </w:rPr>
      </w:pPr>
      <w:r>
        <w:rPr>
          <w:sz w:val="20"/>
        </w:rPr>
        <w:tab/>
        <w:t>NOW THEREFORE, for and in consideration of the agreements herein made and other good and valuable consideration, the parties hereto agree as follows:</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center"/>
        <w:rPr>
          <w:sz w:val="20"/>
        </w:rPr>
      </w:pPr>
      <w:r>
        <w:rPr>
          <w:b/>
          <w:sz w:val="20"/>
        </w:rPr>
        <w:t xml:space="preserve">I.  </w:t>
      </w:r>
      <w:r>
        <w:rPr>
          <w:b/>
          <w:sz w:val="20"/>
          <w:u w:val="single"/>
        </w:rPr>
        <w:t>AMENDMENTS</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ind w:firstLine="720" w:end="0"/>
        <w:jc w:val="both"/>
        <w:rPr>
          <w:sz w:val="20"/>
        </w:rPr>
      </w:pPr>
      <w:r>
        <w:rPr>
          <w:sz w:val="20"/>
        </w:rPr>
        <w:t>The Master Agreement is hereby amended as follows:</w:t>
      </w:r>
    </w:p>
    <w:p>
      <w:pPr>
        <w:pStyle w:val="Normal"/>
        <w:jc w:val="both"/>
        <w:rPr>
          <w:sz w:val="20"/>
        </w:rPr>
      </w:pPr>
      <w:r>
        <w:rPr>
          <w:sz w:val="20"/>
        </w:rPr>
      </w:r>
    </w:p>
    <w:p>
      <w:pPr>
        <w:pStyle w:val="Normal"/>
        <w:jc w:val="both"/>
        <w:rPr>
          <w:sz w:val="20"/>
        </w:rPr>
      </w:pPr>
      <w:r>
        <w:rPr>
          <w:sz w:val="20"/>
        </w:rPr>
        <w:t>A.</w:t>
        <w:tab/>
        <w:t>The Schedule to the Master Agreement (the “Schedule”) is hereby amended as follows:</w:t>
      </w:r>
    </w:p>
    <w:p>
      <w:pPr>
        <w:pStyle w:val="Normal"/>
        <w:jc w:val="both"/>
        <w:rPr>
          <w:sz w:val="20"/>
        </w:rPr>
      </w:pPr>
      <w:r>
        <w:rPr>
          <w:sz w:val="20"/>
        </w:rPr>
      </w:r>
    </w:p>
    <w:p>
      <w:pPr>
        <w:pStyle w:val="Normal"/>
        <w:keepNext w:val="true"/>
        <w:jc w:val="both"/>
        <w:rPr>
          <w:sz w:val="20"/>
        </w:rPr>
      </w:pPr>
      <w:r>
        <w:rPr>
          <w:sz w:val="20"/>
        </w:rPr>
        <w:t>1.</w:t>
        <w:tab/>
        <w:t>Part 1 of the Schedule is amended to reflect certain modifications, alterations and revisions as set forth below:</w:t>
      </w:r>
    </w:p>
    <w:p>
      <w:pPr>
        <w:pStyle w:val="Normal"/>
        <w:jc w:val="both"/>
        <w:rPr>
          <w:sz w:val="20"/>
        </w:rPr>
      </w:pPr>
      <w:r>
        <w:rPr>
          <w:sz w:val="20"/>
        </w:rPr>
      </w:r>
    </w:p>
    <w:p>
      <w:pPr>
        <w:pStyle w:val="Normal"/>
        <w:spacing w:lineRule="exact" w:line="240"/>
        <w:jc w:val="both"/>
        <w:rPr>
          <w:sz w:val="20"/>
        </w:rPr>
      </w:pPr>
      <w:r>
        <w:rPr>
          <w:sz w:val="20"/>
        </w:rPr>
        <w:t>a.</w:t>
        <w:tab/>
        <w:t>The “Threshold Amount” contained in Part 1(b) is hereby amended in its entirety and replaced with the following:</w:t>
      </w:r>
    </w:p>
    <w:p>
      <w:pPr>
        <w:pStyle w:val="Normal"/>
        <w:spacing w:lineRule="exact" w:line="240" w:before="240" w:after="0"/>
        <w:ind w:start="360" w:end="0"/>
        <w:jc w:val="both"/>
        <w:rPr/>
      </w:pPr>
      <w:r>
        <w:rPr>
          <w:sz w:val="20"/>
          <w:szCs w:val="22"/>
        </w:rPr>
        <w:t>“</w:t>
      </w:r>
      <w:r>
        <w:rPr>
          <w:b/>
          <w:bCs/>
          <w:sz w:val="20"/>
          <w:szCs w:val="22"/>
        </w:rPr>
        <w:t>“</w:t>
      </w:r>
      <w:r>
        <w:rPr>
          <w:b/>
          <w:bCs/>
          <w:sz w:val="20"/>
          <w:szCs w:val="22"/>
        </w:rPr>
        <w:t>Threshold Amount”</w:t>
      </w:r>
      <w:r>
        <w:rPr>
          <w:sz w:val="20"/>
          <w:szCs w:val="22"/>
        </w:rPr>
        <w:t xml:space="preserve"> means:  with respect to Party A, U.S. $100,000,000 (or its equivalent in another currency); with respect to Party A’s Credit Support Provider, U.S. $100,000,000 (or its equivalent in another currency); and with respect to Party B, U.S. $2,500,000 (or its equivalent in another currency); </w:t>
      </w:r>
      <w:r>
        <w:rPr>
          <w:sz w:val="20"/>
          <w:szCs w:val="22"/>
          <w:u w:val="single"/>
        </w:rPr>
        <w:t>provided</w:t>
      </w:r>
      <w:r>
        <w:rPr>
          <w:sz w:val="20"/>
          <w:szCs w:val="22"/>
        </w:rPr>
        <w:t xml:space="preserve">, </w:t>
      </w:r>
      <w:r>
        <w:rPr>
          <w:sz w:val="20"/>
          <w:szCs w:val="22"/>
          <w:u w:val="single"/>
        </w:rPr>
        <w:t>that</w:t>
      </w:r>
      <w:r>
        <w:rPr>
          <w:sz w:val="20"/>
          <w:szCs w:val="22"/>
        </w:rPr>
        <w:t>, such Threshold Amount shall apply individually and not collectively with respect to each entity set forth above notwithstanding anything to the contrary set forth in Section 5(a)(vi) of the Master Agreement.”</w:t>
      </w:r>
    </w:p>
    <w:p>
      <w:pPr>
        <w:pStyle w:val="Normal"/>
        <w:keepNext w:val="true"/>
        <w:jc w:val="both"/>
        <w:rPr>
          <w:sz w:val="20"/>
          <w:szCs w:val="22"/>
        </w:rPr>
      </w:pPr>
      <w:r>
        <w:rPr>
          <w:sz w:val="20"/>
          <w:szCs w:val="22"/>
        </w:rPr>
      </w:r>
    </w:p>
    <w:p>
      <w:pPr>
        <w:pStyle w:val="Normal"/>
        <w:jc w:val="both"/>
        <w:rPr/>
      </w:pPr>
      <w:r>
        <w:rPr>
          <w:sz w:val="20"/>
          <w:szCs w:val="22"/>
        </w:rPr>
        <w:t>b.</w:t>
        <w:tab/>
        <w:t xml:space="preserve">Part 1 </w:t>
      </w:r>
      <w:r>
        <w:rPr>
          <w:sz w:val="20"/>
        </w:rPr>
        <w:t>is hereby amended to add thereto a new subsection (j) in its entirety as follows:</w:t>
      </w:r>
    </w:p>
    <w:p>
      <w:pPr>
        <w:pStyle w:val="Normal"/>
        <w:spacing w:lineRule="exact" w:line="240"/>
        <w:jc w:val="both"/>
        <w:rPr>
          <w:sz w:val="20"/>
          <w:szCs w:val="22"/>
        </w:rPr>
      </w:pPr>
      <w:r>
        <w:rPr>
          <w:sz w:val="20"/>
          <w:szCs w:val="22"/>
        </w:rPr>
      </w:r>
    </w:p>
    <w:p>
      <w:pPr>
        <w:pStyle w:val="Normal"/>
        <w:spacing w:lineRule="exact" w:line="240"/>
        <w:jc w:val="both"/>
        <w:rPr/>
      </w:pPr>
      <w:r>
        <w:rPr>
          <w:sz w:val="20"/>
          <w:szCs w:val="22"/>
        </w:rPr>
        <w:tab/>
        <w:t xml:space="preserve">“(j) </w:t>
      </w:r>
      <w:r>
        <w:rPr>
          <w:b/>
          <w:bCs/>
          <w:sz w:val="20"/>
          <w:szCs w:val="22"/>
        </w:rPr>
        <w:t>“Contractual Currency”</w:t>
      </w:r>
      <w:r>
        <w:rPr>
          <w:sz w:val="20"/>
          <w:szCs w:val="22"/>
        </w:rPr>
        <w:t xml:space="preserve"> unless otherwise specified in a Confirmation, shall mean United States Dollars.”</w:t>
      </w:r>
    </w:p>
    <w:p>
      <w:pPr>
        <w:pStyle w:val="Normal"/>
        <w:spacing w:lineRule="exact" w:line="240"/>
        <w:jc w:val="both"/>
        <w:rPr>
          <w:sz w:val="20"/>
        </w:rPr>
      </w:pPr>
      <w:r>
        <w:rPr>
          <w:sz w:val="20"/>
          <w:szCs w:val="22"/>
        </w:rPr>
        <w:tab/>
      </w:r>
    </w:p>
    <w:p>
      <w:pPr>
        <w:pStyle w:val="Normal"/>
        <w:jc w:val="both"/>
        <w:rPr>
          <w:sz w:val="20"/>
        </w:rPr>
      </w:pPr>
      <w:r>
        <w:rPr>
          <w:sz w:val="20"/>
        </w:rPr>
        <w:t>2.</w:t>
        <w:tab/>
        <w:t xml:space="preserve">Part 3(b) of the Schedule is hereby deleted in its entirety with respect to the language set forth with regard to the financials to be delivered by Party A and Party B, respectively, and replaced with the following: </w:t>
      </w:r>
    </w:p>
    <w:p>
      <w:pPr>
        <w:pStyle w:val="Normal"/>
        <w:jc w:val="both"/>
        <w:rPr/>
      </w:pPr>
      <w:r>
        <w:rPr/>
        <w:tab/>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c>
          <w:tcPr>
            <w:tcW w:w="1837" w:type="dxa"/>
            <w:tcBorders/>
            <w:vAlign w:val="bottom"/>
          </w:tcPr>
          <w:p>
            <w:pPr>
              <w:pStyle w:val="Normal"/>
              <w:keepNext w:val="true"/>
              <w:spacing w:lineRule="atLeast" w:line="240" w:before="240" w:after="0"/>
              <w:rPr>
                <w:sz w:val="20"/>
                <w:szCs w:val="22"/>
              </w:rPr>
            </w:pPr>
            <w:r>
              <w:rPr>
                <w:b/>
                <w:bCs/>
                <w:sz w:val="20"/>
                <w:szCs w:val="22"/>
              </w:rPr>
              <w:t xml:space="preserve">Party required to deliver </w:t>
            </w:r>
            <w:r>
              <w:rPr>
                <w:b/>
                <w:bCs/>
                <w:sz w:val="20"/>
                <w:szCs w:val="22"/>
                <w:u w:val="single"/>
              </w:rPr>
              <w:t>document</w:t>
            </w:r>
          </w:p>
        </w:tc>
        <w:tc>
          <w:tcPr>
            <w:tcW w:w="3886" w:type="dxa"/>
            <w:tcBorders/>
            <w:vAlign w:val="bottom"/>
          </w:tcPr>
          <w:p>
            <w:pPr>
              <w:pStyle w:val="Normal"/>
              <w:keepNext w:val="true"/>
              <w:spacing w:lineRule="atLeast" w:line="240" w:before="240" w:after="0"/>
              <w:rPr>
                <w:sz w:val="20"/>
                <w:szCs w:val="22"/>
                <w:u w:val="single"/>
              </w:rPr>
            </w:pPr>
            <w:r>
              <w:rPr>
                <w:b/>
                <w:bCs/>
                <w:sz w:val="20"/>
                <w:szCs w:val="22"/>
                <w:u w:val="single"/>
              </w:rPr>
              <w:t>Form/Document/Certificate</w:t>
            </w:r>
          </w:p>
        </w:tc>
        <w:tc>
          <w:tcPr>
            <w:tcW w:w="2228" w:type="dxa"/>
            <w:tcBorders/>
            <w:vAlign w:val="bottom"/>
          </w:tcPr>
          <w:p>
            <w:pPr>
              <w:pStyle w:val="Normal"/>
              <w:keepNext w:val="true"/>
              <w:spacing w:lineRule="atLeast" w:line="240" w:before="240" w:after="0"/>
              <w:rPr>
                <w:sz w:val="20"/>
                <w:szCs w:val="22"/>
              </w:rPr>
            </w:pPr>
            <w:r>
              <w:rPr>
                <w:b/>
                <w:bCs/>
                <w:sz w:val="20"/>
                <w:szCs w:val="22"/>
              </w:rPr>
              <w:t xml:space="preserve">Date by which to </w:t>
            </w:r>
            <w:r>
              <w:rPr>
                <w:b/>
                <w:bCs/>
                <w:sz w:val="20"/>
                <w:szCs w:val="22"/>
                <w:u w:val="single"/>
              </w:rPr>
              <w:t>be delivered</w:t>
            </w:r>
          </w:p>
        </w:tc>
        <w:tc>
          <w:tcPr>
            <w:tcW w:w="1985" w:type="dxa"/>
            <w:tcBorders/>
            <w:vAlign w:val="bottom"/>
          </w:tcPr>
          <w:p>
            <w:pPr>
              <w:pStyle w:val="Normal"/>
              <w:keepNext w:val="true"/>
              <w:spacing w:lineRule="atLeast" w:line="240" w:before="240" w:after="0"/>
              <w:jc w:val="center"/>
              <w:rPr>
                <w:sz w:val="20"/>
                <w:szCs w:val="22"/>
              </w:rPr>
            </w:pPr>
            <w:r>
              <w:rPr>
                <w:b/>
                <w:bCs/>
                <w:sz w:val="20"/>
                <w:szCs w:val="22"/>
              </w:rPr>
              <w:t xml:space="preserve">Covered by Section 3(d) </w:t>
            </w:r>
            <w:r>
              <w:rPr>
                <w:b/>
                <w:bCs/>
                <w:sz w:val="20"/>
                <w:szCs w:val="22"/>
                <w:u w:val="single"/>
              </w:rPr>
              <w:t>Representation</w:t>
            </w:r>
          </w:p>
        </w:tc>
      </w:tr>
      <w:tr>
        <w:trPr/>
        <w:tc>
          <w:tcPr>
            <w:tcW w:w="1837" w:type="dxa"/>
            <w:tcBorders/>
          </w:tcPr>
          <w:p>
            <w:pPr>
              <w:pStyle w:val="Normal"/>
              <w:keepNext w:val="true"/>
              <w:spacing w:lineRule="atLeast" w:line="240" w:before="240" w:after="0"/>
              <w:jc w:val="both"/>
              <w:rPr>
                <w:sz w:val="20"/>
                <w:szCs w:val="22"/>
              </w:rPr>
            </w:pPr>
            <w:r>
              <w:rPr>
                <w:sz w:val="20"/>
                <w:szCs w:val="22"/>
              </w:rPr>
              <w:t>“</w:t>
            </w:r>
            <w:r>
              <w:rPr>
                <w:sz w:val="20"/>
                <w:szCs w:val="22"/>
              </w:rPr>
              <w:t>Party A</w:t>
            </w:r>
          </w:p>
        </w:tc>
        <w:tc>
          <w:tcPr>
            <w:tcW w:w="3886" w:type="dxa"/>
            <w:tcBorders/>
          </w:tcPr>
          <w:p>
            <w:pPr>
              <w:pStyle w:val="Normal"/>
              <w:keepNext w:val="true"/>
              <w:spacing w:lineRule="atLeast" w:line="240" w:before="240" w:after="0"/>
              <w:jc w:val="both"/>
              <w:rPr>
                <w:b/>
                <w:bCs/>
                <w:sz w:val="20"/>
                <w:szCs w:val="22"/>
              </w:rPr>
            </w:pPr>
            <w:r>
              <w:rPr>
                <w:sz w:val="20"/>
                <w:szCs w:val="22"/>
              </w:rPr>
              <w:t>Annual Audited Consolidated Financial Statement of Party A’s Credit Support Provider certified by independent public accountants</w:t>
            </w:r>
          </w:p>
        </w:tc>
        <w:tc>
          <w:tcPr>
            <w:tcW w:w="2228" w:type="dxa"/>
            <w:tcBorders/>
          </w:tcPr>
          <w:p>
            <w:pPr>
              <w:pStyle w:val="Justified"/>
              <w:keepNext w:val="true"/>
              <w:spacing w:lineRule="atLeast" w:line="240" w:before="240" w:after="0"/>
              <w:jc w:val="start"/>
              <w:rPr>
                <w:rFonts w:ascii="Times New Roman" w:hAnsi="Times New Roman" w:cs="Times New Roman"/>
                <w:b/>
                <w:bCs/>
                <w:sz w:val="20"/>
              </w:rPr>
            </w:pPr>
            <w:r>
              <w:rPr>
                <w:rFonts w:cs="Times New Roman" w:ascii="Times New Roman" w:hAnsi="Times New Roman"/>
                <w:sz w:val="20"/>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keepNext w:val="true"/>
              <w:spacing w:lineRule="atLeast" w:line="240" w:before="240" w:after="0"/>
              <w:jc w:val="center"/>
              <w:rPr>
                <w:b/>
                <w:bCs/>
                <w:sz w:val="20"/>
                <w:szCs w:val="22"/>
              </w:rPr>
            </w:pPr>
            <w:r>
              <w:rPr>
                <w:sz w:val="20"/>
                <w:szCs w:val="22"/>
              </w:rPr>
              <w:t>Yes</w:t>
            </w:r>
          </w:p>
        </w:tc>
      </w:tr>
      <w:tr>
        <w:trPr/>
        <w:tc>
          <w:tcPr>
            <w:tcW w:w="1837" w:type="dxa"/>
            <w:tcBorders/>
          </w:tcPr>
          <w:p>
            <w:pPr>
              <w:pStyle w:val="Normal"/>
              <w:spacing w:lineRule="atLeast" w:line="240" w:before="240" w:after="0"/>
              <w:jc w:val="both"/>
              <w:rPr>
                <w:sz w:val="20"/>
                <w:szCs w:val="22"/>
              </w:rPr>
            </w:pPr>
            <w:r>
              <w:rPr>
                <w:sz w:val="20"/>
                <w:szCs w:val="22"/>
              </w:rPr>
              <w:t>Party A</w:t>
            </w:r>
          </w:p>
        </w:tc>
        <w:tc>
          <w:tcPr>
            <w:tcW w:w="3886" w:type="dxa"/>
            <w:tcBorders/>
          </w:tcPr>
          <w:p>
            <w:pPr>
              <w:pStyle w:val="Normal"/>
              <w:spacing w:lineRule="atLeast" w:line="240" w:before="240" w:after="0"/>
              <w:jc w:val="both"/>
              <w:rPr>
                <w:b/>
                <w:bCs/>
                <w:sz w:val="20"/>
                <w:szCs w:val="22"/>
              </w:rPr>
            </w:pPr>
            <w:r>
              <w:rPr>
                <w:sz w:val="20"/>
                <w:szCs w:val="22"/>
              </w:rPr>
              <w:t>Quarterly Unaudited Consolidated Financial Statement of Party A’s Credit Support Provider</w:t>
            </w:r>
          </w:p>
        </w:tc>
        <w:tc>
          <w:tcPr>
            <w:tcW w:w="2228" w:type="dxa"/>
            <w:tcBorders/>
          </w:tcPr>
          <w:p>
            <w:pPr>
              <w:pStyle w:val="Justified"/>
              <w:spacing w:lineRule="atLeast" w:line="240" w:before="240" w:after="0"/>
              <w:jc w:val="start"/>
              <w:rPr/>
            </w:pPr>
            <w:r>
              <w:rPr>
                <w:rFonts w:cs="Times New Roman" w:ascii="Times New Roman" w:hAnsi="Times New Roman"/>
                <w:sz w:val="20"/>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sz w:val="20"/>
              </w:rPr>
              <w:t xml:space="preserve"> </w:t>
            </w:r>
          </w:p>
        </w:tc>
        <w:tc>
          <w:tcPr>
            <w:tcW w:w="1985" w:type="dxa"/>
            <w:tcBorders/>
          </w:tcPr>
          <w:p>
            <w:pPr>
              <w:pStyle w:val="Normal"/>
              <w:spacing w:lineRule="atLeast" w:line="240" w:before="240" w:after="0"/>
              <w:jc w:val="center"/>
              <w:rPr>
                <w:b/>
                <w:bCs/>
                <w:sz w:val="20"/>
                <w:szCs w:val="22"/>
              </w:rPr>
            </w:pPr>
            <w:r>
              <w:rPr>
                <w:sz w:val="20"/>
                <w:szCs w:val="22"/>
              </w:rPr>
              <w:t>Yes</w:t>
            </w:r>
          </w:p>
        </w:tc>
      </w:tr>
      <w:tr>
        <w:trPr/>
        <w:tc>
          <w:tcPr>
            <w:tcW w:w="1837" w:type="dxa"/>
            <w:tcBorders/>
          </w:tcPr>
          <w:p>
            <w:pPr>
              <w:pStyle w:val="Justified"/>
              <w:spacing w:lineRule="atLeast" w:line="240" w:before="240" w:after="0"/>
              <w:rPr>
                <w:rFonts w:ascii="Times New Roman" w:hAnsi="Times New Roman" w:cs="Times New Roman"/>
                <w:sz w:val="20"/>
              </w:rPr>
            </w:pPr>
            <w:r>
              <w:rPr>
                <w:rFonts w:cs="Times New Roman" w:ascii="Times New Roman" w:hAnsi="Times New Roman"/>
                <w:sz w:val="20"/>
              </w:rPr>
              <w:t>Party B</w:t>
            </w:r>
          </w:p>
        </w:tc>
        <w:tc>
          <w:tcPr>
            <w:tcW w:w="3886" w:type="dxa"/>
            <w:tcBorders/>
          </w:tcPr>
          <w:p>
            <w:pPr>
              <w:pStyle w:val="Normal"/>
              <w:spacing w:lineRule="atLeast" w:line="240" w:before="240" w:after="0"/>
              <w:jc w:val="both"/>
              <w:rPr>
                <w:sz w:val="20"/>
                <w:szCs w:val="22"/>
              </w:rPr>
            </w:pPr>
            <w:r>
              <w:rPr>
                <w:sz w:val="20"/>
                <w:szCs w:val="22"/>
              </w:rPr>
              <w:t>Annual Audited Consolidated Financial Statement of Party B certified by independent public accountants</w:t>
            </w:r>
          </w:p>
        </w:tc>
        <w:tc>
          <w:tcPr>
            <w:tcW w:w="2228" w:type="dxa"/>
            <w:tcBorders/>
          </w:tcPr>
          <w:p>
            <w:pPr>
              <w:pStyle w:val="Justified"/>
              <w:spacing w:lineRule="atLeast" w:line="240" w:before="240" w:after="0"/>
              <w:jc w:val="start"/>
              <w:rPr>
                <w:rFonts w:ascii="Times New Roman" w:hAnsi="Times New Roman" w:cs="Times New Roman"/>
                <w:sz w:val="20"/>
              </w:rPr>
            </w:pPr>
            <w:r>
              <w:rPr>
                <w:rFonts w:cs="Times New Roman" w:ascii="Times New Roman" w:hAnsi="Times New Roman"/>
                <w:sz w:val="20"/>
              </w:rPr>
              <w:t>Promptly following demand by Party A, but in no event later than 120 days after the end of each fiscal year of Party B</w:t>
            </w:r>
          </w:p>
        </w:tc>
        <w:tc>
          <w:tcPr>
            <w:tcW w:w="1985" w:type="dxa"/>
            <w:tcBorders/>
          </w:tcPr>
          <w:p>
            <w:pPr>
              <w:pStyle w:val="Justified"/>
              <w:spacing w:lineRule="atLeast" w:line="240" w:before="240" w:after="0"/>
              <w:jc w:val="center"/>
              <w:rPr>
                <w:rFonts w:ascii="Times New Roman" w:hAnsi="Times New Roman" w:cs="Times New Roman"/>
                <w:sz w:val="20"/>
              </w:rPr>
            </w:pPr>
            <w:r>
              <w:rPr>
                <w:rFonts w:cs="Times New Roman" w:ascii="Times New Roman" w:hAnsi="Times New Roman"/>
                <w:sz w:val="20"/>
              </w:rPr>
              <w:t>Yes</w:t>
            </w:r>
          </w:p>
        </w:tc>
      </w:tr>
      <w:tr>
        <w:trPr/>
        <w:tc>
          <w:tcPr>
            <w:tcW w:w="1837" w:type="dxa"/>
            <w:tcBorders/>
          </w:tcPr>
          <w:p>
            <w:pPr>
              <w:pStyle w:val="Normal"/>
              <w:spacing w:lineRule="atLeast" w:line="240" w:before="240" w:after="0"/>
              <w:jc w:val="both"/>
              <w:rPr>
                <w:sz w:val="20"/>
                <w:szCs w:val="22"/>
              </w:rPr>
            </w:pPr>
            <w:r>
              <w:rPr>
                <w:sz w:val="20"/>
                <w:szCs w:val="22"/>
              </w:rPr>
              <w:t>Party B</w:t>
            </w:r>
          </w:p>
        </w:tc>
        <w:tc>
          <w:tcPr>
            <w:tcW w:w="3886" w:type="dxa"/>
            <w:tcBorders/>
          </w:tcPr>
          <w:p>
            <w:pPr>
              <w:pStyle w:val="Normal"/>
              <w:spacing w:lineRule="atLeast" w:line="240" w:before="240" w:after="0"/>
              <w:jc w:val="both"/>
              <w:rPr>
                <w:sz w:val="20"/>
                <w:szCs w:val="22"/>
              </w:rPr>
            </w:pPr>
            <w:r>
              <w:rPr>
                <w:sz w:val="20"/>
                <w:szCs w:val="22"/>
              </w:rPr>
              <w:t>Quarterly Unaudited Consolidated Financial Statement of Party B</w:t>
            </w:r>
          </w:p>
        </w:tc>
        <w:tc>
          <w:tcPr>
            <w:tcW w:w="2228" w:type="dxa"/>
            <w:tcBorders/>
          </w:tcPr>
          <w:p>
            <w:pPr>
              <w:pStyle w:val="Normal"/>
              <w:spacing w:lineRule="atLeast" w:line="240" w:before="240" w:after="0"/>
              <w:rPr>
                <w:sz w:val="20"/>
                <w:szCs w:val="22"/>
              </w:rPr>
            </w:pPr>
            <w:r>
              <w:rPr>
                <w:sz w:val="20"/>
                <w:szCs w:val="22"/>
              </w:rPr>
              <w:t>Promptly following demand by Party A, but in no event later than 60 days after the end of each of the first three fiscal quarters of each fiscal year of Party B</w:t>
            </w:r>
          </w:p>
        </w:tc>
        <w:tc>
          <w:tcPr>
            <w:tcW w:w="1985" w:type="dxa"/>
            <w:tcBorders/>
          </w:tcPr>
          <w:p>
            <w:pPr>
              <w:pStyle w:val="Normal"/>
              <w:spacing w:lineRule="atLeast" w:line="240" w:before="240" w:after="0"/>
              <w:jc w:val="center"/>
              <w:rPr>
                <w:sz w:val="20"/>
                <w:szCs w:val="22"/>
              </w:rPr>
            </w:pPr>
            <w:r>
              <w:rPr>
                <w:sz w:val="20"/>
                <w:szCs w:val="22"/>
              </w:rPr>
              <w:t>Yes”</w:t>
            </w:r>
          </w:p>
        </w:tc>
      </w:tr>
    </w:tbl>
    <w:p>
      <w:pPr>
        <w:pStyle w:val="Normal"/>
        <w:jc w:val="both"/>
        <w:rPr>
          <w:sz w:val="20"/>
        </w:rPr>
      </w:pPr>
      <w:r>
        <w:rPr>
          <w:sz w:val="20"/>
        </w:rPr>
      </w:r>
    </w:p>
    <w:p>
      <w:pPr>
        <w:pStyle w:val="Normal"/>
        <w:keepNext w:val="true"/>
        <w:jc w:val="both"/>
        <w:rPr>
          <w:sz w:val="20"/>
        </w:rPr>
      </w:pPr>
      <w:r>
        <w:rPr>
          <w:sz w:val="20"/>
        </w:rPr>
        <w:t>3.</w:t>
        <w:tab/>
        <w:t>The opening phrase of Part 4(a) is deleted in its entirety and replaced with the following:</w:t>
      </w:r>
    </w:p>
    <w:p>
      <w:pPr>
        <w:pStyle w:val="Normal"/>
        <w:keepNext w:val="true"/>
        <w:jc w:val="both"/>
        <w:rPr>
          <w:sz w:val="20"/>
        </w:rPr>
      </w:pPr>
      <w:r>
        <w:rPr>
          <w:sz w:val="20"/>
        </w:rPr>
      </w:r>
    </w:p>
    <w:p>
      <w:pPr>
        <w:pStyle w:val="Normal"/>
        <w:keepNext w:val="true"/>
        <w:ind w:firstLine="720" w:end="0"/>
        <w:jc w:val="both"/>
        <w:rPr/>
      </w:pPr>
      <w:r>
        <w:rPr>
          <w:sz w:val="20"/>
        </w:rPr>
        <w:t>“</w:t>
      </w:r>
      <w:r>
        <w:rPr>
          <w:sz w:val="20"/>
          <w:szCs w:val="22"/>
        </w:rPr>
        <w:t>(a)</w:t>
        <w:tab/>
      </w:r>
      <w:r>
        <w:rPr>
          <w:b/>
          <w:bCs/>
          <w:sz w:val="20"/>
          <w:szCs w:val="22"/>
        </w:rPr>
        <w:t>Addresses for Notices.</w:t>
      </w:r>
      <w:r>
        <w:rPr>
          <w:sz w:val="20"/>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jc w:val="both"/>
        <w:rPr>
          <w:sz w:val="20"/>
          <w:szCs w:val="22"/>
        </w:rPr>
      </w:pPr>
      <w:r>
        <w:rPr>
          <w:sz w:val="20"/>
          <w:szCs w:val="22"/>
        </w:rPr>
      </w:r>
    </w:p>
    <w:p>
      <w:pPr>
        <w:pStyle w:val="Normal"/>
        <w:keepNext w:val="true"/>
        <w:jc w:val="both"/>
        <w:rPr>
          <w:sz w:val="20"/>
        </w:rPr>
      </w:pPr>
      <w:r>
        <w:rPr>
          <w:sz w:val="20"/>
        </w:rPr>
        <w:t>4.</w:t>
        <w:tab/>
        <w:t>Part 5 of the Schedule is amended to reflect certain modifications, alterations and revisions as set forth below:</w:t>
      </w:r>
    </w:p>
    <w:p>
      <w:pPr>
        <w:pStyle w:val="Normal"/>
        <w:keepNext w:val="true"/>
        <w:jc w:val="both"/>
        <w:rPr>
          <w:sz w:val="20"/>
        </w:rPr>
      </w:pPr>
      <w:r>
        <w:rPr>
          <w:sz w:val="20"/>
        </w:rPr>
      </w:r>
    </w:p>
    <w:p>
      <w:pPr>
        <w:pStyle w:val="Normal"/>
        <w:keepNext w:val="true"/>
        <w:jc w:val="both"/>
        <w:rPr>
          <w:sz w:val="20"/>
        </w:rPr>
      </w:pPr>
      <w:r>
        <w:rPr>
          <w:sz w:val="20"/>
        </w:rPr>
        <w:t>a.</w:t>
        <w:tab/>
        <w:t>Part 5(m) is amended in its entirety and replaced with the following:</w:t>
      </w:r>
    </w:p>
    <w:p>
      <w:pPr>
        <w:pStyle w:val="Normal"/>
        <w:spacing w:lineRule="exact" w:line="240" w:before="240" w:after="0"/>
        <w:ind w:firstLine="720" w:end="0"/>
        <w:jc w:val="both"/>
        <w:rPr/>
      </w:pPr>
      <w:r>
        <w:rPr>
          <w:sz w:val="20"/>
        </w:rPr>
        <w:t>“</w:t>
      </w:r>
      <w:r>
        <w:rPr>
          <w:sz w:val="20"/>
          <w:szCs w:val="22"/>
        </w:rPr>
        <w:t>(m)</w:t>
        <w:tab/>
      </w:r>
      <w:r>
        <w:rPr>
          <w:b/>
          <w:bCs/>
          <w:color w:val="000000"/>
          <w:sz w:val="20"/>
          <w:szCs w:val="22"/>
        </w:rPr>
        <w:t>Setoff.</w:t>
      </w:r>
      <w:r>
        <w:rPr>
          <w:color w:val="000000"/>
          <w:sz w:val="20"/>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under any other agreement(s), instrument(s) or undertaking(s), any amounts Owed in Dollars or any other currency by Y to X or any of X’s Affiliates (irrespective of place of payment or booking office of the obligation) under this Agreement or under any other agreement(s), instrument(s) or undertaking(s).  The obligations of Y and X under this Agreement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For purposes of this Section, “Owed” shall mean any amounts owed or otherwise accrued and payable (regardless of whether such amounts have been or could be invoiced) as of the Early Termination Date.</w:t>
      </w:r>
    </w:p>
    <w:p>
      <w:pPr>
        <w:pStyle w:val="Normal"/>
        <w:spacing w:lineRule="exact" w:line="240" w:before="240" w:after="0"/>
        <w:ind w:firstLine="720" w:end="0"/>
        <w:jc w:val="both"/>
        <w:rPr>
          <w:color w:val="000000"/>
          <w:sz w:val="20"/>
          <w:szCs w:val="22"/>
        </w:rPr>
      </w:pPr>
      <w:r>
        <w:rPr>
          <w:color w:val="000000"/>
          <w:sz w:val="20"/>
          <w:szCs w:val="22"/>
        </w:rPr>
        <w:t>Amounts subject to the setoff permitted in this Section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Each of the parties represents and acknowledges that the rights set forth in this Section are an integral part of this Agreement between the parties and that without such rights the parties would not be willing to enter into Transactions.  Each of the parties further acknowledges that it is executing this Agreement on behalf of itself as principal and, with respect to this Section, as agent on behalf of its Affiliates, which Affiliates shall receive the benefits of this Section and otherwise be bound as if such Affiliates had directly signed this Agreement as it relates to this Section.</w:t>
      </w:r>
    </w:p>
    <w:p>
      <w:pPr>
        <w:pStyle w:val="Normal"/>
        <w:spacing w:lineRule="exact" w:line="240" w:before="240" w:after="0"/>
        <w:ind w:firstLine="720" w:end="0"/>
        <w:jc w:val="both"/>
        <w:rPr>
          <w:color w:val="000000"/>
          <w:sz w:val="20"/>
          <w:szCs w:val="22"/>
        </w:rPr>
      </w:pPr>
      <w:r>
        <w:rPr>
          <w:color w:val="000000"/>
          <w:sz w:val="20"/>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under any other agreement(s), instrument(s) or undertaking(s), which are Owed as of the Early Termination Date hereof have been fully and finally satisfied.”</w:t>
      </w:r>
    </w:p>
    <w:p>
      <w:pPr>
        <w:pStyle w:val="Normal"/>
        <w:ind w:firstLine="720" w:end="0"/>
        <w:jc w:val="both"/>
        <w:rPr>
          <w:color w:val="000000"/>
          <w:sz w:val="20"/>
          <w:szCs w:val="22"/>
        </w:rPr>
      </w:pPr>
      <w:r>
        <w:rPr>
          <w:color w:val="000000"/>
          <w:sz w:val="20"/>
          <w:szCs w:val="22"/>
        </w:rPr>
      </w:r>
    </w:p>
    <w:p>
      <w:pPr>
        <w:pStyle w:val="Normal"/>
        <w:keepNext w:val="true"/>
        <w:jc w:val="both"/>
        <w:rPr>
          <w:sz w:val="20"/>
        </w:rPr>
      </w:pPr>
      <w:r>
        <w:rPr>
          <w:sz w:val="20"/>
        </w:rPr>
        <w:t>b.</w:t>
        <w:tab/>
        <w:t>Part 5 is hereby amended to add thereto, new subsection (s), which shall read in its entirety as follows:</w:t>
      </w:r>
    </w:p>
    <w:p>
      <w:pPr>
        <w:pStyle w:val="Normal"/>
        <w:keepNext w:val="true"/>
        <w:spacing w:lineRule="exact" w:line="240" w:before="240" w:after="0"/>
        <w:ind w:firstLine="720" w:end="0"/>
        <w:jc w:val="both"/>
        <w:rPr/>
      </w:pPr>
      <w:r>
        <w:rPr>
          <w:sz w:val="20"/>
        </w:rPr>
        <w:t>“</w:t>
      </w:r>
      <w:r>
        <w:rPr>
          <w:sz w:val="20"/>
        </w:rPr>
        <w:t>(s)</w:t>
        <w:tab/>
      </w:r>
      <w:r>
        <w:rPr>
          <w:b/>
          <w:sz w:val="20"/>
        </w:rPr>
        <w:t>Severability.</w:t>
      </w:r>
      <w:r>
        <w:rPr>
          <w:sz w:val="20"/>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0"/>
          <w:u w:val="single"/>
        </w:rPr>
        <w:t>provided</w:t>
      </w:r>
      <w:r>
        <w:rPr>
          <w:sz w:val="20"/>
        </w:rPr>
        <w:t xml:space="preserve">, </w:t>
      </w:r>
      <w:r>
        <w:rPr>
          <w:sz w:val="20"/>
          <w:u w:val="single"/>
        </w:rPr>
        <w:t>however</w:t>
      </w:r>
      <w:r>
        <w:rPr>
          <w:sz w:val="20"/>
        </w:rPr>
        <w:t>, that this severability provision shall not be applicable if any provision of Section 1, 2, 5 or 6 (or any definition or provision in Section 12 to the extent it relates to, or is used in or in connection with any such Section) shall be so held to be invalid or unenforceable.”</w:t>
      </w:r>
    </w:p>
    <w:p>
      <w:pPr>
        <w:pStyle w:val="Normal"/>
        <w:keepNext w:val="true"/>
        <w:jc w:val="both"/>
        <w:rPr>
          <w:sz w:val="20"/>
        </w:rPr>
      </w:pPr>
      <w:r>
        <w:rPr>
          <w:sz w:val="20"/>
        </w:rPr>
      </w:r>
    </w:p>
    <w:p>
      <w:pPr>
        <w:pStyle w:val="Normal"/>
        <w:jc w:val="both"/>
        <w:rPr/>
      </w:pPr>
      <w:r>
        <w:rPr>
          <w:bCs/>
          <w:sz w:val="20"/>
        </w:rPr>
        <w:t>5.</w:t>
        <w:tab/>
      </w:r>
      <w:r>
        <w:rPr>
          <w:sz w:val="20"/>
        </w:rPr>
        <w:t>Except as amended hereby, all other provisions of the Schedule shall remain the same and in full force and effect.</w:t>
      </w:r>
    </w:p>
    <w:p>
      <w:pPr>
        <w:pStyle w:val="Normal"/>
        <w:keepNext w:val="true"/>
        <w:jc w:val="both"/>
        <w:rPr>
          <w:sz w:val="20"/>
        </w:rPr>
      </w:pPr>
      <w:r>
        <w:rPr>
          <w:sz w:val="20"/>
        </w:rPr>
      </w:r>
    </w:p>
    <w:p>
      <w:pPr>
        <w:pStyle w:val="Normal"/>
        <w:keepNext w:val="true"/>
        <w:jc w:val="both"/>
        <w:rPr>
          <w:sz w:val="20"/>
        </w:rPr>
      </w:pPr>
      <w:r>
        <w:rPr>
          <w:sz w:val="20"/>
        </w:rPr>
        <w:t>B.</w:t>
        <w:tab/>
        <w:t>Paragraph 13 to the ISDA Credit Support Annex and the attachments thereto (the “CSA”) are hereby amended to reflect certain modifications and revisions as set forth below:</w:t>
      </w:r>
    </w:p>
    <w:p>
      <w:pPr>
        <w:pStyle w:val="Normal"/>
        <w:keepNext w:val="true"/>
        <w:jc w:val="both"/>
        <w:rPr>
          <w:sz w:val="20"/>
        </w:rPr>
      </w:pPr>
      <w:r>
        <w:rPr>
          <w:sz w:val="20"/>
        </w:rPr>
      </w:r>
    </w:p>
    <w:p>
      <w:pPr>
        <w:pStyle w:val="Normal"/>
        <w:keepNext w:val="true"/>
        <w:numPr>
          <w:ilvl w:val="0"/>
          <w:numId w:val="2"/>
        </w:numPr>
        <w:jc w:val="both"/>
        <w:rPr>
          <w:sz w:val="20"/>
        </w:rPr>
      </w:pPr>
      <w:r>
        <w:rPr>
          <w:sz w:val="20"/>
        </w:rPr>
        <w:t>Paragraph 13(b)(iii) is hereby amended to restate the “Valuation Percentage” as:</w:t>
      </w:r>
    </w:p>
    <w:p>
      <w:pPr>
        <w:pStyle w:val="Normal"/>
        <w:keepNext w:val="true"/>
        <w:jc w:val="both"/>
        <w:rPr>
          <w:sz w:val="20"/>
        </w:rPr>
      </w:pPr>
      <w:r>
        <w:rPr>
          <w:sz w:val="20"/>
        </w:rPr>
      </w:r>
    </w:p>
    <w:p>
      <w:pPr>
        <w:pStyle w:val="Normal"/>
        <w:keepNext w:val="true"/>
        <w:ind w:start="720" w:end="0"/>
        <w:jc w:val="both"/>
        <w:rPr>
          <w:sz w:val="20"/>
        </w:rPr>
      </w:pPr>
      <w:r>
        <w:rPr>
          <w:sz w:val="20"/>
        </w:rPr>
        <w:t>“</w:t>
      </w:r>
      <w:r>
        <w:rPr>
          <w:sz w:val="20"/>
        </w:rPr>
        <w:t>100% unless either (i) a Letter of Credit Default shall apply with respect to such Letter of Credit or (ii) twenty (20) or fewer Local Business Days remain prior to the expiration of such Letter of Credit, in which case the Valuation Percentage shall be 0.”</w:t>
      </w:r>
    </w:p>
    <w:p>
      <w:pPr>
        <w:pStyle w:val="Normal"/>
        <w:jc w:val="both"/>
        <w:rPr>
          <w:sz w:val="20"/>
        </w:rPr>
      </w:pPr>
      <w:r>
        <w:rPr>
          <w:sz w:val="20"/>
        </w:rPr>
      </w:r>
    </w:p>
    <w:p>
      <w:pPr>
        <w:pStyle w:val="BodyText"/>
        <w:keepNext w:val="true"/>
        <w:rPr>
          <w:sz w:val="20"/>
        </w:rPr>
      </w:pPr>
      <w:r>
        <w:rPr>
          <w:sz w:val="20"/>
        </w:rPr>
        <w:t>2.</w:t>
        <w:tab/>
        <w:t>Paragraph 13(b)(iv)(B) with respect to the “Threshold” is hereby amended in its entirety and replaced with the following:</w:t>
      </w:r>
    </w:p>
    <w:p>
      <w:pPr>
        <w:pStyle w:val="BodyText"/>
        <w:keepNext w:val="true"/>
        <w:rPr>
          <w:sz w:val="20"/>
        </w:rPr>
      </w:pPr>
      <w:r>
        <w:rPr>
          <w:sz w:val="20"/>
        </w:rPr>
      </w:r>
    </w:p>
    <w:p>
      <w:pPr>
        <w:pStyle w:val="Normal"/>
        <w:keepNext w:val="true"/>
        <w:ind w:start="720" w:end="0"/>
        <w:jc w:val="both"/>
        <w:rPr/>
      </w:pPr>
      <w:r>
        <w:rPr>
          <w:color w:val="000000"/>
          <w:sz w:val="20"/>
          <w:szCs w:val="22"/>
        </w:rPr>
        <w:t>“</w:t>
      </w:r>
      <w:r>
        <w:rPr>
          <w:b/>
          <w:bCs/>
          <w:color w:val="000000"/>
          <w:sz w:val="20"/>
          <w:szCs w:val="22"/>
        </w:rPr>
        <w:t>“</w:t>
      </w:r>
      <w:r>
        <w:rPr>
          <w:b/>
          <w:bCs/>
          <w:color w:val="000000"/>
          <w:sz w:val="20"/>
          <w:szCs w:val="22"/>
        </w:rPr>
        <w:t>Threshold”</w:t>
      </w:r>
      <w:r>
        <w:rPr>
          <w:color w:val="000000"/>
          <w:sz w:val="20"/>
          <w:szCs w:val="22"/>
        </w:rPr>
        <w:t xml:space="preserve"> means with respect to Party A, U.S. $40,000,000 and with respect to Party B, U.S. $8,000,000; provided, however, that the Threshold for a party shall be zero upon the occurrence and during the continuance of a Material Adverse Change or an Event of Default or Potential Event of Default with respect to such party.”</w:t>
      </w:r>
    </w:p>
    <w:p>
      <w:pPr>
        <w:pStyle w:val="Normal"/>
        <w:jc w:val="both"/>
        <w:rPr>
          <w:color w:val="000000"/>
          <w:sz w:val="20"/>
          <w:szCs w:val="22"/>
        </w:rPr>
      </w:pPr>
      <w:r>
        <w:rPr>
          <w:color w:val="000000"/>
          <w:sz w:val="20"/>
          <w:szCs w:val="22"/>
        </w:rPr>
      </w:r>
    </w:p>
    <w:p>
      <w:pPr>
        <w:pStyle w:val="BodyText"/>
        <w:rPr>
          <w:sz w:val="20"/>
        </w:rPr>
      </w:pPr>
      <w:r>
        <w:rPr>
          <w:sz w:val="20"/>
        </w:rPr>
        <w:t>3.</w:t>
        <w:tab/>
        <w:t>Paragraph 13(g), Holding and Using Posted Collateral is hereby deleted in its entirety and replaced with the following:</w:t>
      </w:r>
    </w:p>
    <w:p>
      <w:pPr>
        <w:pStyle w:val="Normal"/>
        <w:jc w:val="both"/>
        <w:rPr>
          <w:sz w:val="20"/>
        </w:rPr>
      </w:pPr>
      <w:r>
        <w:rPr>
          <w:sz w:val="20"/>
        </w:rPr>
      </w:r>
    </w:p>
    <w:p>
      <w:pPr>
        <w:pStyle w:val="Normal"/>
        <w:ind w:hanging="720" w:start="720" w:end="0"/>
        <w:jc w:val="both"/>
        <w:rPr>
          <w:sz w:val="20"/>
          <w:szCs w:val="22"/>
        </w:rPr>
      </w:pPr>
      <w:r>
        <w:rPr>
          <w:sz w:val="20"/>
        </w:rPr>
        <w:tab/>
        <w:t>“</w:t>
      </w:r>
      <w:r>
        <w:rPr>
          <w:sz w:val="20"/>
          <w:szCs w:val="22"/>
        </w:rPr>
        <w:t>(g)</w:t>
        <w:tab/>
      </w:r>
      <w:r>
        <w:rPr>
          <w:b/>
          <w:bCs/>
          <w:sz w:val="20"/>
          <w:szCs w:val="22"/>
        </w:rPr>
        <w:t>Holding and Using Posted Collateral.</w:t>
      </w:r>
    </w:p>
    <w:p>
      <w:pPr>
        <w:pStyle w:val="Normal"/>
        <w:ind w:hanging="720" w:start="720" w:end="0"/>
        <w:jc w:val="both"/>
        <w:rPr>
          <w:sz w:val="20"/>
          <w:szCs w:val="22"/>
        </w:rPr>
      </w:pPr>
      <w:r>
        <w:rPr>
          <w:sz w:val="20"/>
          <w:szCs w:val="22"/>
        </w:rPr>
      </w:r>
    </w:p>
    <w:p>
      <w:pPr>
        <w:pStyle w:val="Normal"/>
        <w:ind w:start="720" w:end="0"/>
        <w:jc w:val="both"/>
        <w:rPr/>
      </w:pPr>
      <w:r>
        <w:rPr>
          <w:sz w:val="20"/>
          <w:szCs w:val="22"/>
        </w:rPr>
        <w:t xml:space="preserve">(i)  </w:t>
      </w:r>
      <w:r>
        <w:rPr>
          <w:b/>
          <w:bCs/>
          <w:sz w:val="20"/>
          <w:szCs w:val="22"/>
        </w:rPr>
        <w:t>Eligibility to Hold Posted Collateral; Custodians.</w:t>
      </w:r>
      <w:r>
        <w:rPr>
          <w:sz w:val="20"/>
          <w:szCs w:val="22"/>
        </w:rPr>
        <w:t xml:space="preserve">  Party A and its Custodian will be entitled to hold Posted Collateral pursuant to Paragraph 6(b); </w:t>
      </w:r>
      <w:r>
        <w:rPr>
          <w:sz w:val="20"/>
          <w:szCs w:val="22"/>
          <w:u w:val="single"/>
        </w:rPr>
        <w:t>provided</w:t>
      </w:r>
      <w:r>
        <w:rPr>
          <w:sz w:val="20"/>
          <w:szCs w:val="22"/>
        </w:rPr>
        <w:t xml:space="preserve"> </w:t>
      </w:r>
      <w:r>
        <w:rPr>
          <w:sz w:val="20"/>
          <w:szCs w:val="22"/>
          <w:u w:val="single"/>
        </w:rPr>
        <w:t>that</w:t>
      </w:r>
      <w:r>
        <w:rPr>
          <w:sz w:val="20"/>
          <w:szCs w:val="22"/>
        </w:rPr>
        <w:t xml:space="preserve"> the following conditions applicable to it are satisfied:</w:t>
      </w:r>
    </w:p>
    <w:p>
      <w:pPr>
        <w:pStyle w:val="Normal"/>
        <w:ind w:start="900" w:end="0"/>
        <w:jc w:val="both"/>
        <w:rPr>
          <w:sz w:val="20"/>
          <w:szCs w:val="22"/>
        </w:rPr>
      </w:pPr>
      <w:r>
        <w:rPr>
          <w:sz w:val="20"/>
          <w:szCs w:val="22"/>
        </w:rPr>
      </w:r>
    </w:p>
    <w:p>
      <w:pPr>
        <w:pStyle w:val="Normal"/>
        <w:ind w:start="1080" w:end="0"/>
        <w:jc w:val="both"/>
        <w:rPr>
          <w:sz w:val="20"/>
          <w:szCs w:val="22"/>
        </w:rPr>
      </w:pPr>
      <w:r>
        <w:rPr>
          <w:sz w:val="20"/>
          <w:szCs w:val="22"/>
        </w:rPr>
        <w:t>(1) Party A is not a Defaulting Party and a Material Adverse Change has not occurred with respect to Party A.</w:t>
      </w:r>
    </w:p>
    <w:p>
      <w:pPr>
        <w:pStyle w:val="Normal"/>
        <w:ind w:start="1080" w:end="0"/>
        <w:jc w:val="both"/>
        <w:rPr>
          <w:sz w:val="20"/>
          <w:szCs w:val="22"/>
        </w:rPr>
      </w:pPr>
      <w:r>
        <w:rPr>
          <w:sz w:val="20"/>
          <w:szCs w:val="22"/>
        </w:rPr>
      </w:r>
    </w:p>
    <w:p>
      <w:pPr>
        <w:pStyle w:val="BodyTextIndent"/>
        <w:ind w:start="1080" w:end="0"/>
        <w:rPr>
          <w:sz w:val="20"/>
        </w:rPr>
      </w:pPr>
      <w:r>
        <w:rPr>
          <w:sz w:val="20"/>
        </w:rPr>
        <w:t>(2) Posted Collateral may be held only in the following jurisdictions:  Any jurisdiction within the United States.</w:t>
      </w:r>
    </w:p>
    <w:p>
      <w:pPr>
        <w:pStyle w:val="BodyTextIndent"/>
        <w:ind w:start="1080" w:end="0"/>
        <w:rPr>
          <w:sz w:val="20"/>
        </w:rPr>
      </w:pPr>
      <w:r>
        <w:rPr>
          <w:sz w:val="20"/>
        </w:rPr>
      </w:r>
    </w:p>
    <w:p>
      <w:pPr>
        <w:pStyle w:val="BodyTextIndent"/>
        <w:ind w:start="1080" w:end="0"/>
        <w:rPr/>
      </w:pPr>
      <w:r>
        <w:rPr>
          <w:sz w:val="20"/>
        </w:rPr>
        <w:t>(3) The Custodian is a Qualified Institution (as defined below), approved by Party B (which approval shall not be unreasonably withheld).</w:t>
      </w:r>
      <w:r>
        <w:rPr>
          <w:color w:val="0000FF"/>
          <w:sz w:val="20"/>
        </w:rPr>
        <w:t xml:space="preserve"> </w:t>
      </w:r>
      <w:r>
        <w:rPr>
          <w:sz w:val="20"/>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BodyTextIndent"/>
        <w:rPr>
          <w:sz w:val="20"/>
        </w:rPr>
      </w:pPr>
      <w:r>
        <w:rPr>
          <w:sz w:val="20"/>
        </w:rPr>
      </w:r>
    </w:p>
    <w:p>
      <w:pPr>
        <w:pStyle w:val="Normal"/>
        <w:ind w:start="720" w:end="0"/>
        <w:jc w:val="both"/>
        <w:rPr/>
      </w:pPr>
      <w:r>
        <w:rPr>
          <w:sz w:val="20"/>
          <w:szCs w:val="22"/>
        </w:rPr>
        <w:t>Party B and its Custodian</w:t>
      </w:r>
      <w:r>
        <w:rPr>
          <w:color w:val="FF0000"/>
          <w:sz w:val="20"/>
          <w:szCs w:val="22"/>
        </w:rPr>
        <w:t xml:space="preserve"> </w:t>
      </w:r>
      <w:r>
        <w:rPr>
          <w:color w:val="000000"/>
          <w:sz w:val="20"/>
          <w:szCs w:val="22"/>
        </w:rPr>
        <w:t>will</w:t>
      </w:r>
      <w:r>
        <w:rPr>
          <w:sz w:val="20"/>
          <w:szCs w:val="22"/>
        </w:rPr>
        <w:t xml:space="preserve"> be entitled to hold Posted Collateral pursuant to Paragraph 6(b); </w:t>
      </w:r>
      <w:r>
        <w:rPr>
          <w:sz w:val="20"/>
          <w:szCs w:val="22"/>
          <w:u w:val="single"/>
        </w:rPr>
        <w:t>provided that</w:t>
      </w:r>
      <w:r>
        <w:rPr>
          <w:sz w:val="20"/>
          <w:szCs w:val="22"/>
        </w:rPr>
        <w:t xml:space="preserve"> the following conditions applicable to it are satisfied:</w:t>
      </w:r>
    </w:p>
    <w:p>
      <w:pPr>
        <w:pStyle w:val="Normal"/>
        <w:ind w:hanging="720" w:start="2160" w:end="0"/>
        <w:jc w:val="both"/>
        <w:rPr>
          <w:sz w:val="20"/>
          <w:szCs w:val="22"/>
        </w:rPr>
      </w:pPr>
      <w:r>
        <w:rPr>
          <w:sz w:val="20"/>
          <w:szCs w:val="22"/>
        </w:rPr>
      </w:r>
    </w:p>
    <w:p>
      <w:pPr>
        <w:pStyle w:val="Normal"/>
        <w:ind w:start="1080" w:end="0"/>
        <w:jc w:val="both"/>
        <w:rPr>
          <w:sz w:val="20"/>
          <w:szCs w:val="22"/>
        </w:rPr>
      </w:pPr>
      <w:r>
        <w:rPr>
          <w:sz w:val="20"/>
          <w:szCs w:val="22"/>
        </w:rPr>
        <w:t>(1) Party B is not a Defaulting Party and a Material Adverse Change has not occurred with respect to Party B.</w:t>
      </w:r>
    </w:p>
    <w:p>
      <w:pPr>
        <w:pStyle w:val="Normal"/>
        <w:ind w:start="1080" w:end="0"/>
        <w:jc w:val="both"/>
        <w:rPr>
          <w:sz w:val="20"/>
          <w:szCs w:val="22"/>
        </w:rPr>
      </w:pPr>
      <w:r>
        <w:rPr>
          <w:color w:val="FF0000"/>
          <w:sz w:val="20"/>
          <w:szCs w:val="22"/>
        </w:rPr>
        <w:t xml:space="preserve"> </w:t>
      </w:r>
    </w:p>
    <w:p>
      <w:pPr>
        <w:pStyle w:val="Normal"/>
        <w:ind w:start="1080" w:end="0"/>
        <w:jc w:val="both"/>
        <w:rPr>
          <w:sz w:val="20"/>
          <w:szCs w:val="22"/>
        </w:rPr>
      </w:pPr>
      <w:r>
        <w:rPr>
          <w:sz w:val="20"/>
          <w:szCs w:val="22"/>
        </w:rPr>
        <w:t>(2) Posted Collateral may be held only in the following jurisdictions:  Any jurisdiction in the United States.</w:t>
      </w:r>
    </w:p>
    <w:p>
      <w:pPr>
        <w:pStyle w:val="Normal"/>
        <w:ind w:start="1080" w:end="0"/>
        <w:jc w:val="both"/>
        <w:rPr>
          <w:color w:val="FF0000"/>
          <w:sz w:val="20"/>
          <w:szCs w:val="22"/>
        </w:rPr>
      </w:pPr>
      <w:r>
        <w:rPr>
          <w:color w:val="FF0000"/>
          <w:sz w:val="20"/>
          <w:szCs w:val="22"/>
        </w:rPr>
      </w:r>
    </w:p>
    <w:p>
      <w:pPr>
        <w:pStyle w:val="BodyTextIndent"/>
        <w:ind w:start="1080" w:end="0"/>
        <w:rPr>
          <w:color w:val="FF0000"/>
          <w:sz w:val="20"/>
          <w:szCs w:val="22"/>
        </w:rPr>
      </w:pPr>
      <w:r>
        <w:rPr>
          <w:color w:val="FF0000"/>
          <w:sz w:val="20"/>
          <w:szCs w:val="22"/>
        </w:rPr>
      </w:r>
    </w:p>
    <w:p>
      <w:pPr>
        <w:pStyle w:val="BodyTextIndent"/>
        <w:keepNext w:val="true"/>
        <w:ind w:start="1080" w:end="0"/>
        <w:rPr>
          <w:sz w:val="20"/>
        </w:rPr>
      </w:pPr>
      <w:r>
        <w:rPr>
          <w:sz w:val="20"/>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0"/>
          <w:szCs w:val="22"/>
        </w:rPr>
      </w:pPr>
      <w:r>
        <w:rPr>
          <w:color w:val="0000FF"/>
          <w:sz w:val="20"/>
          <w:szCs w:val="22"/>
        </w:rPr>
      </w:r>
    </w:p>
    <w:p>
      <w:pPr>
        <w:pStyle w:val="BodyTextIndent3"/>
        <w:rPr>
          <w:sz w:val="20"/>
        </w:rPr>
      </w:pPr>
      <w:r>
        <w:rPr>
          <w:sz w:val="20"/>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keepNext w:val="true"/>
        <w:ind w:start="720" w:end="0"/>
        <w:jc w:val="both"/>
        <w:rPr>
          <w:sz w:val="20"/>
          <w:szCs w:val="22"/>
        </w:rPr>
      </w:pPr>
      <w:r>
        <w:rPr>
          <w:sz w:val="20"/>
          <w:szCs w:val="22"/>
        </w:rPr>
      </w:r>
    </w:p>
    <w:p>
      <w:pPr>
        <w:pStyle w:val="Normal"/>
        <w:keepNext w:val="true"/>
        <w:ind w:start="720" w:end="0"/>
        <w:jc w:val="both"/>
        <w:rPr>
          <w:sz w:val="20"/>
          <w:szCs w:val="22"/>
        </w:rPr>
      </w:pPr>
      <w:r>
        <w:rPr>
          <w:sz w:val="20"/>
          <w:szCs w:val="22"/>
        </w:rPr>
        <w:t xml:space="preserve">(ii)  </w:t>
      </w:r>
      <w:r>
        <w:rPr>
          <w:b/>
          <w:bCs/>
          <w:sz w:val="20"/>
          <w:szCs w:val="22"/>
        </w:rPr>
        <w:t>Use of Posted Collateral.</w:t>
      </w:r>
    </w:p>
    <w:p>
      <w:pPr>
        <w:pStyle w:val="Normal"/>
        <w:keepNext w:val="true"/>
        <w:ind w:start="720" w:end="0"/>
        <w:jc w:val="both"/>
        <w:rPr>
          <w:sz w:val="20"/>
          <w:szCs w:val="22"/>
        </w:rPr>
      </w:pPr>
      <w:r>
        <w:rPr>
          <w:sz w:val="20"/>
          <w:szCs w:val="22"/>
        </w:rPr>
      </w:r>
    </w:p>
    <w:p>
      <w:pPr>
        <w:pStyle w:val="Normal"/>
        <w:keepNext w:val="true"/>
        <w:ind w:start="720" w:end="0"/>
        <w:jc w:val="both"/>
        <w:rPr/>
      </w:pPr>
      <w:r>
        <w:rPr>
          <w:sz w:val="20"/>
          <w:szCs w:val="22"/>
        </w:rPr>
        <w:t xml:space="preserve">The provisions of Paragraph 6(c) will apply to the parties; </w:t>
      </w:r>
      <w:r>
        <w:rPr>
          <w:sz w:val="20"/>
          <w:szCs w:val="22"/>
          <w:u w:val="single"/>
        </w:rPr>
        <w:t>provided</w:t>
      </w:r>
      <w:r>
        <w:rPr>
          <w:sz w:val="20"/>
          <w:szCs w:val="22"/>
        </w:rPr>
        <w:t xml:space="preserve">, </w:t>
      </w:r>
      <w:r>
        <w:rPr>
          <w:sz w:val="20"/>
          <w:szCs w:val="22"/>
          <w:u w:val="single"/>
        </w:rPr>
        <w:t>however</w:t>
      </w:r>
      <w:r>
        <w:rPr>
          <w:sz w:val="20"/>
          <w:szCs w:val="22"/>
        </w:rPr>
        <w:t xml:space="preserve">, that if a party or its Custodian is not eligible to hold Posted Collateral pursuant to Paragraph 13(g)(i) (the event that caused it or its Custodian, if any, to be ineligible to hold Posted Collateral shall be a </w:t>
      </w:r>
      <w:r>
        <w:rPr>
          <w:b/>
          <w:bCs/>
          <w:sz w:val="20"/>
          <w:szCs w:val="22"/>
        </w:rPr>
        <w:t>“Credit Rating Event”</w:t>
      </w:r>
      <w:r>
        <w:rPr>
          <w:sz w:val="20"/>
          <w:szCs w:val="22"/>
        </w:rPr>
        <w:t>; if such Credit Rating Event occurs with respect to a party, such party</w:t>
      </w:r>
      <w:r>
        <w:rPr>
          <w:color w:val="FF0000"/>
          <w:sz w:val="20"/>
          <w:szCs w:val="22"/>
        </w:rPr>
        <w:t xml:space="preserve"> </w:t>
      </w:r>
      <w:r>
        <w:rPr>
          <w:sz w:val="20"/>
          <w:szCs w:val="22"/>
        </w:rPr>
        <w:t>shall be the “Downgraded Party”; and if such Credit Rating Event occurs with respect to a party’s Custodian, such Custodian shall be the “Downgraded Custodian”), then:</w:t>
      </w:r>
    </w:p>
    <w:p>
      <w:pPr>
        <w:pStyle w:val="Normal"/>
        <w:ind w:hanging="720" w:start="2160" w:end="0"/>
        <w:jc w:val="both"/>
        <w:rPr>
          <w:sz w:val="20"/>
          <w:szCs w:val="22"/>
        </w:rPr>
      </w:pPr>
      <w:r>
        <w:rPr>
          <w:sz w:val="20"/>
          <w:szCs w:val="22"/>
        </w:rPr>
      </w:r>
    </w:p>
    <w:p>
      <w:pPr>
        <w:pStyle w:val="Normal"/>
        <w:ind w:start="1440" w:end="0"/>
        <w:jc w:val="both"/>
        <w:rPr>
          <w:sz w:val="20"/>
          <w:szCs w:val="22"/>
        </w:rPr>
      </w:pPr>
      <w:r>
        <w:rPr>
          <w:sz w:val="20"/>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0"/>
          <w:szCs w:val="22"/>
        </w:rPr>
      </w:pPr>
      <w:r>
        <w:rPr>
          <w:sz w:val="20"/>
          <w:szCs w:val="22"/>
        </w:rPr>
      </w:r>
    </w:p>
    <w:p>
      <w:pPr>
        <w:pStyle w:val="Normal"/>
        <w:ind w:start="1440" w:end="0"/>
        <w:jc w:val="both"/>
        <w:rPr/>
      </w:pPr>
      <w:r>
        <w:rPr>
          <w:sz w:val="20"/>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0"/>
          <w:szCs w:val="22"/>
        </w:rPr>
        <w:t>“Qualified Institution”</w:t>
      </w:r>
      <w:r>
        <w:rPr>
          <w:sz w:val="20"/>
          <w:szCs w:val="22"/>
        </w:rPr>
        <w:t>), approved by the non-Downgraded Party (which approval shall not be unreasonably withheld) to a segregated, safekeeping or custody account (</w:t>
      </w:r>
      <w:r>
        <w:rPr>
          <w:b/>
          <w:bCs/>
          <w:sz w:val="20"/>
          <w:szCs w:val="22"/>
        </w:rPr>
        <w:t>“Collateral Account”</w:t>
      </w:r>
      <w:r>
        <w:rPr>
          <w:sz w:val="20"/>
          <w:szCs w:val="22"/>
        </w:rPr>
        <w:t xml:space="preserve">) within such Qualified Institution with the title of the Collateral Account indicating that the property contained therein is being held as Posted Collateral for the Downgraded Party; </w:t>
      </w:r>
      <w:r>
        <w:rPr>
          <w:sz w:val="20"/>
          <w:szCs w:val="22"/>
          <w:u w:val="single"/>
        </w:rPr>
        <w:t>provided, that</w:t>
      </w:r>
      <w:r>
        <w:rPr>
          <w:sz w:val="20"/>
          <w:szCs w:val="22"/>
        </w:rPr>
        <w:t>, if the Credit Rating Event occurs with respect to a party’s Custodian that is holding Posted Collateral on behalf of such party, then such Downgraded Custodian may also deliver such Posted Collateral to</w:t>
      </w:r>
      <w:r>
        <w:rPr>
          <w:color w:val="FF0000"/>
          <w:sz w:val="20"/>
          <w:szCs w:val="22"/>
        </w:rPr>
        <w:t xml:space="preserve"> </w:t>
      </w:r>
      <w:r>
        <w:rPr>
          <w:sz w:val="20"/>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0"/>
          <w:szCs w:val="22"/>
        </w:rPr>
      </w:pPr>
      <w:r>
        <w:rPr>
          <w:sz w:val="20"/>
          <w:szCs w:val="22"/>
        </w:rPr>
      </w:r>
    </w:p>
    <w:p>
      <w:pPr>
        <w:pStyle w:val="Normal"/>
        <w:ind w:start="1440" w:end="0"/>
        <w:jc w:val="both"/>
        <w:rPr>
          <w:sz w:val="20"/>
        </w:rPr>
      </w:pPr>
      <w:r>
        <w:rPr>
          <w:sz w:val="20"/>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BodyText2"/>
        <w:widowControl w:val="false"/>
        <w:rPr>
          <w:bCs/>
          <w:sz w:val="20"/>
        </w:rPr>
      </w:pPr>
      <w:r>
        <w:rPr>
          <w:bCs/>
          <w:sz w:val="20"/>
        </w:rPr>
      </w:r>
    </w:p>
    <w:p>
      <w:pPr>
        <w:pStyle w:val="Normal"/>
        <w:ind w:start="720" w:end="0"/>
        <w:jc w:val="both"/>
        <w:rPr>
          <w:sz w:val="20"/>
          <w:szCs w:val="22"/>
        </w:rPr>
      </w:pPr>
      <w:r>
        <w:rPr>
          <w:sz w:val="20"/>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start="720" w:end="0"/>
        <w:jc w:val="both"/>
        <w:rPr>
          <w:sz w:val="20"/>
          <w:szCs w:val="22"/>
        </w:rPr>
      </w:pPr>
      <w:r>
        <w:rPr>
          <w:sz w:val="20"/>
          <w:szCs w:val="22"/>
        </w:rPr>
      </w:r>
    </w:p>
    <w:p>
      <w:pPr>
        <w:pStyle w:val="BodyText"/>
        <w:keepNext w:val="true"/>
        <w:rPr/>
      </w:pPr>
      <w:r>
        <w:rPr>
          <w:bCs/>
          <w:sz w:val="20"/>
        </w:rPr>
        <w:t>4.</w:t>
        <w:tab/>
      </w:r>
      <w:r>
        <w:rPr>
          <w:sz w:val="20"/>
        </w:rPr>
        <w:t>Paragraph 13(h), Distributions and Interest Amount is hereby deleted in its entirety and replaced with the following:</w:t>
      </w:r>
    </w:p>
    <w:p>
      <w:pPr>
        <w:pStyle w:val="BodyText"/>
        <w:keepNext w:val="true"/>
        <w:rPr>
          <w:sz w:val="20"/>
        </w:rPr>
      </w:pPr>
      <w:r>
        <w:rPr>
          <w:sz w:val="20"/>
        </w:rPr>
      </w:r>
    </w:p>
    <w:p>
      <w:pPr>
        <w:pStyle w:val="Normal"/>
        <w:keepNext w:val="true"/>
        <w:ind w:start="720" w:end="0"/>
        <w:jc w:val="both"/>
        <w:rPr>
          <w:sz w:val="20"/>
          <w:szCs w:val="22"/>
        </w:rPr>
      </w:pPr>
      <w:r>
        <w:rPr>
          <w:sz w:val="20"/>
          <w:szCs w:val="22"/>
        </w:rPr>
        <w:t>“</w:t>
      </w:r>
      <w:r>
        <w:rPr>
          <w:sz w:val="20"/>
          <w:szCs w:val="22"/>
        </w:rPr>
        <w:t>(h)</w:t>
        <w:tab/>
      </w:r>
      <w:r>
        <w:rPr>
          <w:b/>
          <w:bCs/>
          <w:sz w:val="20"/>
          <w:szCs w:val="22"/>
        </w:rPr>
        <w:t>Distributions and Interest Amount.</w:t>
      </w:r>
    </w:p>
    <w:p>
      <w:pPr>
        <w:pStyle w:val="Normal"/>
        <w:keepNext w:val="true"/>
        <w:ind w:hanging="720" w:start="720" w:end="0"/>
        <w:jc w:val="both"/>
        <w:rPr>
          <w:sz w:val="20"/>
          <w:szCs w:val="22"/>
        </w:rPr>
      </w:pPr>
      <w:r>
        <w:rPr>
          <w:sz w:val="20"/>
          <w:szCs w:val="22"/>
        </w:rPr>
      </w:r>
    </w:p>
    <w:p>
      <w:pPr>
        <w:pStyle w:val="Normal"/>
        <w:keepNext w:val="true"/>
        <w:ind w:start="720" w:end="0"/>
        <w:jc w:val="both"/>
        <w:rPr/>
      </w:pPr>
      <w:r>
        <w:rPr>
          <w:sz w:val="20"/>
          <w:szCs w:val="22"/>
        </w:rPr>
        <w:t xml:space="preserve">(i)  </w:t>
      </w:r>
      <w:r>
        <w:rPr>
          <w:b/>
          <w:bCs/>
          <w:sz w:val="20"/>
          <w:szCs w:val="22"/>
        </w:rPr>
        <w:t>Interest Rate.</w:t>
      </w:r>
      <w:r>
        <w:rPr>
          <w:sz w:val="20"/>
          <w:szCs w:val="22"/>
        </w:rPr>
        <w:t xml:space="preserve">  The </w:t>
      </w:r>
      <w:r>
        <w:rPr>
          <w:b/>
          <w:bCs/>
          <w:sz w:val="20"/>
          <w:szCs w:val="22"/>
        </w:rPr>
        <w:t>“Interest Rate”</w:t>
      </w:r>
      <w:r>
        <w:rPr>
          <w:sz w:val="20"/>
          <w:szCs w:val="22"/>
        </w:rPr>
        <w:t xml:space="preserve"> will be:  Federal Funds Effective Rate as from time to time in effect.</w:t>
      </w:r>
    </w:p>
    <w:p>
      <w:pPr>
        <w:pStyle w:val="Normal"/>
        <w:keepNext w:val="true"/>
        <w:ind w:hanging="720" w:start="1440" w:end="0"/>
        <w:jc w:val="both"/>
        <w:rPr>
          <w:sz w:val="20"/>
          <w:szCs w:val="22"/>
        </w:rPr>
      </w:pPr>
      <w:r>
        <w:rPr>
          <w:sz w:val="20"/>
          <w:szCs w:val="22"/>
        </w:rPr>
      </w:r>
    </w:p>
    <w:p>
      <w:pPr>
        <w:pStyle w:val="BodyText"/>
        <w:keepNext w:val="true"/>
        <w:ind w:start="720" w:end="0"/>
        <w:rPr>
          <w:sz w:val="20"/>
        </w:rPr>
      </w:pPr>
      <w:r>
        <w:rPr>
          <w:sz w:val="20"/>
          <w:szCs w:val="22"/>
        </w:rPr>
        <w:t xml:space="preserve">(ii)  </w:t>
      </w:r>
      <w:r>
        <w:rPr>
          <w:b/>
          <w:bCs/>
          <w:sz w:val="20"/>
          <w:szCs w:val="22"/>
        </w:rPr>
        <w:t>Transfer of Interest Amount.</w:t>
      </w:r>
      <w:r>
        <w:rPr>
          <w:sz w:val="20"/>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jc w:val="both"/>
        <w:rPr>
          <w:sz w:val="20"/>
        </w:rPr>
      </w:pPr>
      <w:r>
        <w:rPr>
          <w:sz w:val="20"/>
        </w:rPr>
      </w:r>
    </w:p>
    <w:p>
      <w:pPr>
        <w:pStyle w:val="Normal"/>
        <w:jc w:val="both"/>
        <w:rPr>
          <w:sz w:val="20"/>
        </w:rPr>
      </w:pPr>
      <w:r>
        <w:rPr>
          <w:sz w:val="20"/>
        </w:rPr>
        <w:t>5.</w:t>
        <w:tab/>
        <w:t>The definition of “Value” contained in Paragraph 13(j)(i) is hereby deleted in its entirety and replaced with the following:</w:t>
      </w:r>
    </w:p>
    <w:p>
      <w:pPr>
        <w:pStyle w:val="Normal"/>
        <w:jc w:val="both"/>
        <w:rPr>
          <w:sz w:val="20"/>
        </w:rPr>
      </w:pPr>
      <w:r>
        <w:rPr>
          <w:sz w:val="20"/>
        </w:rPr>
      </w:r>
    </w:p>
    <w:p>
      <w:pPr>
        <w:pStyle w:val="Normal"/>
        <w:ind w:start="720" w:end="0"/>
        <w:jc w:val="both"/>
        <w:rPr/>
      </w:pPr>
      <w:r>
        <w:rPr>
          <w:bCs/>
          <w:sz w:val="20"/>
        </w:rPr>
        <w:t>“</w:t>
      </w:r>
      <w:r>
        <w:rPr>
          <w:b/>
          <w:sz w:val="20"/>
        </w:rPr>
        <w:t>“</w:t>
      </w:r>
      <w:r>
        <w:rPr>
          <w:b/>
          <w:sz w:val="20"/>
        </w:rPr>
        <w:t>Value”</w:t>
      </w:r>
      <w:r>
        <w:rPr>
          <w:sz w:val="20"/>
        </w:rPr>
        <w:t xml:space="preserve"> with respect to Other Eligible Credit Support and Other Posted Support means:  The Valuation Percentage times the stated amount then available under the Letter of Credit to be unconditionally drawn by the Secured Party.”</w:t>
      </w:r>
    </w:p>
    <w:p>
      <w:pPr>
        <w:pStyle w:val="Normal"/>
        <w:jc w:val="both"/>
        <w:rPr>
          <w:sz w:val="20"/>
        </w:rPr>
      </w:pPr>
      <w:r>
        <w:rPr>
          <w:sz w:val="20"/>
        </w:rPr>
      </w:r>
    </w:p>
    <w:p>
      <w:pPr>
        <w:pStyle w:val="Normal"/>
        <w:jc w:val="both"/>
        <w:rPr/>
      </w:pPr>
      <w:r>
        <w:rPr>
          <w:bCs/>
          <w:sz w:val="20"/>
        </w:rPr>
        <w:t>6.</w:t>
        <w:tab/>
      </w:r>
      <w:r>
        <w:rPr>
          <w:sz w:val="20"/>
        </w:rPr>
        <w:t>The defined term “Credit Rating” and its definition contained in Paragraph 13(m) are hereby deleted in their entirety and replaced with the following:</w:t>
      </w:r>
    </w:p>
    <w:p>
      <w:pPr>
        <w:pStyle w:val="Normal"/>
        <w:jc w:val="both"/>
        <w:rPr>
          <w:sz w:val="20"/>
        </w:rPr>
      </w:pPr>
      <w:r>
        <w:rPr>
          <w:sz w:val="20"/>
        </w:rPr>
      </w:r>
    </w:p>
    <w:p>
      <w:pPr>
        <w:pStyle w:val="Normal"/>
        <w:ind w:start="720" w:end="0"/>
        <w:jc w:val="both"/>
        <w:rPr/>
      </w:pPr>
      <w:r>
        <w:rPr>
          <w:bCs/>
          <w:sz w:val="20"/>
        </w:rPr>
        <w:t>“</w:t>
      </w:r>
      <w:r>
        <w:rPr>
          <w:b/>
          <w:bCs/>
          <w:sz w:val="20"/>
          <w:szCs w:val="22"/>
        </w:rPr>
        <w:t>“</w:t>
      </w:r>
      <w:r>
        <w:rPr>
          <w:b/>
          <w:bCs/>
          <w:sz w:val="20"/>
          <w:szCs w:val="22"/>
        </w:rPr>
        <w:t>Credit Rating”</w:t>
      </w:r>
      <w:r>
        <w:rPr>
          <w:sz w:val="20"/>
          <w:szCs w:val="22"/>
        </w:rPr>
        <w:t xml:space="preserve"> means (a) with respect to Party A (or its Credit Support Provider, as the case may be), on any date of determination, the respective ratings then assigned to Party A’s (or its Credit Support Provider's, as the case may be) unsecured, senior long-term debt or deposit obligations (not supported by third party credit enhancement) by S&amp;P, Moody’s or the other specified rating agency or agencies; or (b) with respect to Party B, on any date of determination, the respective ratings then assigned to either of Party B’s Certificates of Participation or Merced Irrigation District Public Financing Corporation’s Certificates of Participation.” </w:t>
      </w:r>
    </w:p>
    <w:p>
      <w:pPr>
        <w:pStyle w:val="Normal"/>
        <w:ind w:start="720" w:end="0"/>
        <w:jc w:val="both"/>
        <w:rPr>
          <w:sz w:val="20"/>
          <w:szCs w:val="22"/>
        </w:rPr>
      </w:pPr>
      <w:r>
        <w:rPr>
          <w:sz w:val="20"/>
          <w:szCs w:val="22"/>
        </w:rPr>
      </w:r>
    </w:p>
    <w:p>
      <w:pPr>
        <w:pStyle w:val="Normal"/>
        <w:jc w:val="both"/>
        <w:rPr/>
      </w:pPr>
      <w:r>
        <w:rPr>
          <w:bCs/>
          <w:sz w:val="20"/>
        </w:rPr>
        <w:t>7.</w:t>
        <w:tab/>
      </w:r>
      <w:r>
        <w:rPr>
          <w:sz w:val="20"/>
        </w:rPr>
        <w:t>The defined term “Federal Funds Overnight Rate” and its definition contained in Paragraph 13(m) are hereby deleted in their entirety and replaced with the following:</w:t>
      </w:r>
    </w:p>
    <w:p>
      <w:pPr>
        <w:pStyle w:val="Normal"/>
        <w:jc w:val="both"/>
        <w:rPr>
          <w:sz w:val="20"/>
        </w:rPr>
      </w:pPr>
      <w:r>
        <w:rPr>
          <w:sz w:val="20"/>
        </w:rPr>
      </w:r>
    </w:p>
    <w:p>
      <w:pPr>
        <w:pStyle w:val="Normal"/>
        <w:ind w:start="720" w:end="0"/>
        <w:jc w:val="both"/>
        <w:rPr/>
      </w:pPr>
      <w:r>
        <w:rPr>
          <w:sz w:val="20"/>
        </w:rPr>
        <w:t>“</w:t>
      </w:r>
      <w:r>
        <w:rPr>
          <w:b/>
          <w:sz w:val="20"/>
        </w:rPr>
        <w:t>“</w:t>
      </w:r>
      <w:r>
        <w:rPr>
          <w:b/>
          <w:sz w:val="20"/>
        </w:rPr>
        <w:t>Federal Funds Effective Rate”</w:t>
      </w:r>
      <w:r>
        <w:rPr>
          <w:sz w:val="20"/>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BodyText2"/>
        <w:widowControl w:val="false"/>
        <w:rPr>
          <w:bCs/>
          <w:sz w:val="20"/>
        </w:rPr>
      </w:pPr>
      <w:r>
        <w:rPr>
          <w:bCs/>
          <w:sz w:val="20"/>
        </w:rPr>
      </w:r>
    </w:p>
    <w:p>
      <w:pPr>
        <w:pStyle w:val="Normal"/>
        <w:keepNext w:val="true"/>
        <w:jc w:val="both"/>
        <w:rPr>
          <w:sz w:val="20"/>
        </w:rPr>
      </w:pPr>
      <w:r>
        <w:rPr>
          <w:sz w:val="20"/>
        </w:rPr>
        <w:t>8.</w:t>
        <w:tab/>
        <w:t xml:space="preserve">The definition of “Material Adverse Change” contained in Paragraph 13(m) is hereby deleted and replaced with the following: </w:t>
      </w:r>
    </w:p>
    <w:p>
      <w:pPr>
        <w:pStyle w:val="Normal"/>
        <w:keepNext w:val="true"/>
        <w:jc w:val="both"/>
        <w:rPr>
          <w:sz w:val="20"/>
        </w:rPr>
      </w:pPr>
      <w:r>
        <w:rPr>
          <w:sz w:val="20"/>
        </w:rPr>
      </w:r>
    </w:p>
    <w:p>
      <w:pPr>
        <w:pStyle w:val="Normal"/>
        <w:ind w:start="720" w:end="0"/>
        <w:jc w:val="both"/>
        <w:rPr/>
      </w:pPr>
      <w:r>
        <w:rPr>
          <w:sz w:val="20"/>
        </w:rPr>
        <w:t>“</w:t>
      </w:r>
      <w:r>
        <w:rPr>
          <w:b/>
          <w:bCs/>
          <w:sz w:val="20"/>
          <w:szCs w:val="22"/>
        </w:rPr>
        <w:t>“</w:t>
      </w:r>
      <w:r>
        <w:rPr>
          <w:b/>
          <w:bCs/>
          <w:sz w:val="20"/>
          <w:szCs w:val="22"/>
        </w:rPr>
        <w:t>Material Adverse Change”</w:t>
      </w:r>
      <w:r>
        <w:rPr>
          <w:sz w:val="20"/>
          <w:szCs w:val="22"/>
        </w:rPr>
        <w:t xml:space="preserve"> means, (a) with respect to Party A, its Credit Support Provider’s Credit Rating is below “BBB-” by S&amp;P or below “Baa3” by Moody’s; or (b) with respect to Party B, it shall have any of the following occur at any time: </w:t>
      </w:r>
      <w:r>
        <w:rPr>
          <w:color w:val="FF0000"/>
          <w:sz w:val="20"/>
          <w:szCs w:val="22"/>
        </w:rPr>
        <w:t xml:space="preserve"> </w:t>
      </w:r>
      <w:r>
        <w:rPr>
          <w:sz w:val="20"/>
          <w:szCs w:val="22"/>
        </w:rPr>
        <w:t>(i) the failure to maintain a SPUR (underlying rating) Credit Rating of at least “BBB-” by S&amp;P</w:t>
      </w:r>
      <w:r>
        <w:rPr>
          <w:color w:val="FF0000"/>
          <w:sz w:val="20"/>
          <w:szCs w:val="22"/>
        </w:rPr>
        <w:t xml:space="preserve"> </w:t>
      </w:r>
      <w:r>
        <w:rPr>
          <w:sz w:val="20"/>
          <w:szCs w:val="22"/>
        </w:rPr>
        <w:t xml:space="preserve">or an underlying rating of at least “Baa3” by Moody’s, or (ii) the ratio of its Funded Debt to Net Worth is more than 2 to 1, or (iii) its Net Worth falls below U.S. $35,000,000, or (iv) it no longer has the ability, whether pursuant to an act, code, regulation or </w:t>
      </w:r>
      <w:r>
        <w:rPr>
          <w:sz w:val="20"/>
        </w:rPr>
        <w:t>applicable law, to collect rates for goods and services to customers sufficient to cover payment obligations under this Agreement and all other operation and maintenance expenses.”</w:t>
      </w:r>
    </w:p>
    <w:p>
      <w:pPr>
        <w:pStyle w:val="Normal"/>
        <w:keepNext w:val="true"/>
        <w:jc w:val="both"/>
        <w:rPr>
          <w:sz w:val="20"/>
        </w:rPr>
      </w:pPr>
      <w:r>
        <w:rPr>
          <w:sz w:val="20"/>
        </w:rPr>
      </w:r>
    </w:p>
    <w:p>
      <w:pPr>
        <w:pStyle w:val="Normal"/>
        <w:keepNext w:val="true"/>
        <w:jc w:val="both"/>
        <w:rPr/>
      </w:pPr>
      <w:r>
        <w:rPr>
          <w:bCs/>
          <w:sz w:val="20"/>
        </w:rPr>
        <w:t>9.</w:t>
        <w:tab/>
      </w:r>
      <w:r>
        <w:rPr>
          <w:sz w:val="20"/>
        </w:rPr>
        <w:t>The following definition is added to Paragraph 13(m) as follows:</w:t>
      </w:r>
    </w:p>
    <w:p>
      <w:pPr>
        <w:pStyle w:val="Normal"/>
        <w:keepNext w:val="true"/>
        <w:spacing w:lineRule="exact" w:line="240" w:before="240" w:after="0"/>
        <w:ind w:start="720" w:end="0"/>
        <w:jc w:val="both"/>
        <w:rPr/>
      </w:pPr>
      <w:r>
        <w:rPr>
          <w:sz w:val="20"/>
        </w:rPr>
        <w:t>“</w:t>
      </w:r>
      <w:r>
        <w:rPr>
          <w:b/>
          <w:bCs/>
          <w:sz w:val="20"/>
          <w:szCs w:val="22"/>
        </w:rPr>
        <w:t>“</w:t>
      </w:r>
      <w:r>
        <w:rPr>
          <w:b/>
          <w:bCs/>
          <w:sz w:val="20"/>
          <w:szCs w:val="22"/>
        </w:rPr>
        <w:t>Issuer”</w:t>
      </w:r>
      <w:r>
        <w:rPr>
          <w:sz w:val="20"/>
          <w:szCs w:val="22"/>
        </w:rPr>
        <w:t xml:space="preserve"> means the bank issuing a Letter of Credit at the request of the Pledgor that meets the requirements set forth in the definition of Letter of Credit herein.”</w:t>
      </w:r>
    </w:p>
    <w:p>
      <w:pPr>
        <w:pStyle w:val="BodyText3"/>
        <w:keepNext w:val="true"/>
        <w:rPr>
          <w:sz w:val="20"/>
          <w:szCs w:val="22"/>
        </w:rPr>
      </w:pPr>
      <w:r>
        <w:rPr>
          <w:sz w:val="20"/>
          <w:szCs w:val="22"/>
        </w:rPr>
      </w:r>
    </w:p>
    <w:p>
      <w:pPr>
        <w:pStyle w:val="BodyText3"/>
        <w:keepNext w:val="true"/>
        <w:rPr/>
      </w:pPr>
      <w:r>
        <w:rPr/>
        <w:t>10.</w:t>
        <w:tab/>
        <w:t>A new Paragraph 13(m)(iii) is hereby added, and shall read in its entirety as follows:</w:t>
      </w:r>
    </w:p>
    <w:p>
      <w:pPr>
        <w:pStyle w:val="Normal"/>
        <w:keepNext w:val="true"/>
        <w:jc w:val="both"/>
        <w:rPr>
          <w:sz w:val="20"/>
        </w:rPr>
      </w:pPr>
      <w:r>
        <w:rPr>
          <w:sz w:val="20"/>
        </w:rPr>
      </w:r>
    </w:p>
    <w:p>
      <w:pPr>
        <w:pStyle w:val="BodyTextIndent2"/>
        <w:keepNext w:val="false"/>
        <w:rPr/>
      </w:pPr>
      <w:r>
        <w:rPr/>
        <w:t>“</w:t>
      </w:r>
      <w:r>
        <w:rPr/>
        <w:t xml:space="preserve">(iii)  Paragraph 7(i) is hereby amended by deleting the words “Eligible Collateral” and replacing them with the words “Eligible Credit Support.”” </w:t>
      </w:r>
    </w:p>
    <w:p>
      <w:pPr>
        <w:pStyle w:val="BodyText2"/>
        <w:widowControl w:val="false"/>
        <w:rPr>
          <w:bCs/>
          <w:sz w:val="20"/>
        </w:rPr>
      </w:pPr>
      <w:r>
        <w:rPr>
          <w:bCs/>
          <w:sz w:val="20"/>
        </w:rPr>
      </w:r>
    </w:p>
    <w:p>
      <w:pPr>
        <w:pStyle w:val="BodyText2"/>
        <w:widowControl w:val="false"/>
        <w:rPr/>
      </w:pPr>
      <w:r>
        <w:rPr>
          <w:bCs/>
          <w:sz w:val="20"/>
        </w:rPr>
        <w:t>C.</w:t>
        <w:tab/>
        <w:t>T</w:t>
      </w:r>
      <w:r>
        <w:rPr>
          <w:sz w:val="20"/>
        </w:rPr>
        <w:t xml:space="preserve">he Letter of Credit Provisions set forth in </w:t>
      </w:r>
      <w:r>
        <w:rPr>
          <w:sz w:val="20"/>
          <w:u w:val="single"/>
        </w:rPr>
        <w:t>Exhibit A</w:t>
      </w:r>
      <w:r>
        <w:rPr>
          <w:sz w:val="20"/>
        </w:rPr>
        <w:t xml:space="preserve"> to Paragraph 13 are hereby deleted in their entirety and replaced with a new </w:t>
      </w:r>
      <w:r>
        <w:rPr>
          <w:sz w:val="20"/>
          <w:u w:val="single"/>
        </w:rPr>
        <w:t>Exhibit A</w:t>
      </w:r>
      <w:r>
        <w:rPr>
          <w:sz w:val="20"/>
        </w:rPr>
        <w:t xml:space="preserve"> to Paragraph 13, attached hereto as Attachment A.</w:t>
      </w:r>
    </w:p>
    <w:p>
      <w:pPr>
        <w:pStyle w:val="BodyText2"/>
        <w:widowControl w:val="false"/>
        <w:rPr>
          <w:sz w:val="20"/>
        </w:rPr>
      </w:pPr>
      <w:r>
        <w:rPr>
          <w:sz w:val="20"/>
        </w:rPr>
      </w:r>
    </w:p>
    <w:p>
      <w:pPr>
        <w:pStyle w:val="BodyText2"/>
        <w:widowControl w:val="false"/>
        <w:rPr>
          <w:bCs/>
          <w:sz w:val="20"/>
        </w:rPr>
      </w:pPr>
      <w:r>
        <w:rPr>
          <w:sz w:val="20"/>
        </w:rPr>
        <w:t>D.</w:t>
        <w:tab/>
        <w:t xml:space="preserve">The form of Letter of Credit as set forth in </w:t>
      </w:r>
      <w:r>
        <w:rPr>
          <w:sz w:val="20"/>
          <w:u w:val="single"/>
        </w:rPr>
        <w:t xml:space="preserve">Schedule 1 </w:t>
      </w:r>
      <w:r>
        <w:rPr>
          <w:sz w:val="20"/>
        </w:rPr>
        <w:t xml:space="preserve">is hereby deleted in its entirety and replaced with a new </w:t>
      </w:r>
      <w:r>
        <w:rPr>
          <w:sz w:val="20"/>
          <w:u w:val="single"/>
        </w:rPr>
        <w:t>Schedule 1</w:t>
      </w:r>
      <w:r>
        <w:rPr>
          <w:sz w:val="20"/>
        </w:rPr>
        <w:t>, attached hereto as Attachment B.</w:t>
      </w:r>
    </w:p>
    <w:p>
      <w:pPr>
        <w:pStyle w:val="BodyText2"/>
        <w:widowControl w:val="false"/>
        <w:rPr>
          <w:bCs/>
          <w:sz w:val="20"/>
        </w:rPr>
      </w:pPr>
      <w:r>
        <w:rPr>
          <w:bCs/>
          <w:sz w:val="20"/>
        </w:rPr>
      </w:r>
    </w:p>
    <w:p>
      <w:pPr>
        <w:pStyle w:val="BodyText2"/>
        <w:widowControl w:val="false"/>
        <w:rPr>
          <w:sz w:val="20"/>
        </w:rPr>
      </w:pPr>
      <w:r>
        <w:rPr>
          <w:sz w:val="20"/>
        </w:rPr>
        <w:t>E.</w:t>
        <w:tab/>
        <w:t>Section 1(b) of the Enron Guaranty is hereby amended by increasing the dollar amount from “$12,000,000” to “$50,000,000”.</w:t>
      </w:r>
    </w:p>
    <w:p>
      <w:pPr>
        <w:pStyle w:val="BodyText2"/>
        <w:widowControl w:val="false"/>
        <w:rPr>
          <w:sz w:val="20"/>
        </w:rPr>
      </w:pPr>
      <w:r>
        <w:rPr>
          <w:sz w:val="20"/>
        </w:rPr>
      </w:r>
    </w:p>
    <w:p>
      <w:pPr>
        <w:pStyle w:val="BodyText2"/>
        <w:widowControl w:val="false"/>
        <w:rPr>
          <w:sz w:val="20"/>
        </w:rPr>
      </w:pPr>
      <w:r>
        <w:rPr>
          <w:sz w:val="20"/>
        </w:rPr>
      </w:r>
    </w:p>
    <w:p>
      <w:pPr>
        <w:pStyle w:val="Normal"/>
        <w:keepNext w:val="true"/>
        <w:jc w:val="center"/>
        <w:rPr>
          <w:sz w:val="20"/>
        </w:rPr>
      </w:pPr>
      <w:r>
        <w:rPr>
          <w:b/>
          <w:sz w:val="20"/>
        </w:rPr>
        <w:t xml:space="preserve">II.  </w:t>
      </w:r>
      <w:r>
        <w:rPr>
          <w:b/>
          <w:sz w:val="20"/>
          <w:u w:val="single"/>
        </w:rPr>
        <w:t>MISCELLANEOUS</w:t>
      </w:r>
    </w:p>
    <w:p>
      <w:pPr>
        <w:pStyle w:val="BodyText"/>
        <w:keepNext w:val="true"/>
        <w:rPr>
          <w:sz w:val="20"/>
        </w:rPr>
      </w:pPr>
      <w:r>
        <w:rPr>
          <w:sz w:val="20"/>
        </w:rPr>
        <w:tab/>
      </w:r>
    </w:p>
    <w:p>
      <w:pPr>
        <w:pStyle w:val="BodyText"/>
        <w:keepNext w:val="true"/>
        <w:rPr>
          <w:sz w:val="20"/>
        </w:rPr>
      </w:pPr>
      <w:r>
        <w:rPr>
          <w:sz w:val="20"/>
        </w:rPr>
      </w:r>
    </w:p>
    <w:p>
      <w:pPr>
        <w:pStyle w:val="BodyText"/>
        <w:keepNext w:val="true"/>
        <w:ind w:firstLine="720" w:end="0"/>
        <w:rPr>
          <w:sz w:val="20"/>
        </w:rPr>
      </w:pPr>
      <w:r>
        <w:rPr>
          <w:sz w:val="20"/>
        </w:rPr>
        <w:t>This Amendment may be executed in multiple counterparts, each of which when executed and delivered shall be deemed to be an original and all of which taken together shall constitute but one and the same instrument.</w:t>
      </w:r>
    </w:p>
    <w:p>
      <w:pPr>
        <w:pStyle w:val="Justified"/>
        <w:spacing w:before="0" w:after="0"/>
        <w:rPr>
          <w:rFonts w:ascii="Times New Roman" w:hAnsi="Times New Roman" w:cs="Times New Roman"/>
          <w:sz w:val="20"/>
        </w:rPr>
      </w:pPr>
      <w:r>
        <w:rPr>
          <w:rFonts w:cs="Times New Roman" w:ascii="Times New Roman" w:hAnsi="Times New Roman"/>
          <w:sz w:val="20"/>
        </w:rPr>
      </w:r>
    </w:p>
    <w:p>
      <w:pPr>
        <w:pStyle w:val="Normal"/>
        <w:keepNext w:val="true"/>
        <w:ind w:firstLine="720" w:end="0"/>
        <w:jc w:val="both"/>
        <w:rPr>
          <w:sz w:val="20"/>
        </w:rPr>
      </w:pPr>
      <w:r>
        <w:rPr>
          <w:sz w:val="20"/>
        </w:rPr>
        <w:t>Any and all references to Enron Capital &amp; Trade Resources Corp. in the Schedule and the Enron Guaranty, shall hereinafter now refer to Enron North America Corp.</w:t>
      </w:r>
    </w:p>
    <w:p>
      <w:pPr>
        <w:pStyle w:val="BodyText3"/>
        <w:ind w:firstLine="720" w:end="0"/>
        <w:rPr>
          <w:sz w:val="20"/>
        </w:rPr>
      </w:pPr>
      <w:r>
        <w:rPr>
          <w:sz w:val="20"/>
        </w:rPr>
      </w:r>
    </w:p>
    <w:p>
      <w:pPr>
        <w:pStyle w:val="BodyText3"/>
        <w:keepNext w:val="true"/>
        <w:ind w:firstLine="720" w:end="0"/>
        <w:rPr/>
      </w:pPr>
      <w:r>
        <w:rPr/>
        <w:t>Any and all references to the Master Agreement, the CSA and the Enron Guaranty shall hereafter refer to the Master Agreement, the CSA and the Enron Guaranty as amended by this Amendment and as the same may be amended, supplemented or modified from time to time.  The provisions of this Amendment shall apply to any and all outstanding Transactions under the Master Agreement.  Unless otherwise defined herein, capitalized terms not defined herein shall have the same meanings assigned to such terms in the agreement.</w:t>
      </w:r>
    </w:p>
    <w:p>
      <w:pPr>
        <w:pStyle w:val="BodyText3"/>
        <w:keepNext w:val="true"/>
        <w:ind w:firstLine="720" w:end="0"/>
        <w:rPr/>
      </w:pPr>
      <w:r>
        <w:rPr/>
      </w:r>
    </w:p>
    <w:p>
      <w:pPr>
        <w:pStyle w:val="Normal"/>
        <w:ind w:firstLine="720" w:end="0"/>
        <w:jc w:val="both"/>
        <w:rPr>
          <w:sz w:val="20"/>
        </w:rPr>
      </w:pPr>
      <w:r>
        <w:rPr>
          <w:sz w:val="20"/>
        </w:rPr>
        <w:t>Except as amended hereby, all other provisions of the Master Agreement, the CSA and the Enron Guaranty shall remain the same and in full force and effect.</w:t>
      </w:r>
    </w:p>
    <w:p>
      <w:pPr>
        <w:pStyle w:val="BodyText3"/>
        <w:keepNext w:val="true"/>
        <w:ind w:firstLine="720" w:end="0"/>
        <w:rPr>
          <w:sz w:val="20"/>
        </w:rPr>
      </w:pPr>
      <w:r>
        <w:rPr>
          <w:sz w:val="20"/>
        </w:rPr>
      </w:r>
    </w:p>
    <w:p>
      <w:pPr>
        <w:pStyle w:val="Normal"/>
        <w:keepNext w:val="true"/>
        <w:spacing w:lineRule="exact" w:line="240"/>
        <w:ind w:firstLine="720" w:end="0"/>
        <w:jc w:val="both"/>
        <w:rPr>
          <w:sz w:val="20"/>
        </w:rPr>
      </w:pPr>
      <w:r>
        <w:rPr>
          <w:sz w:val="20"/>
        </w:rPr>
        <w:t>IN WITNESS WHEREOF, the parties hereto have executed this Amendment effective as of the date first written above.</w:t>
      </w:r>
    </w:p>
    <w:p>
      <w:pPr>
        <w:pStyle w:val="Normal"/>
        <w:keepNext w:val="true"/>
        <w:jc w:val="both"/>
        <w:rPr>
          <w:sz w:val="20"/>
        </w:rPr>
      </w:pPr>
      <w:r>
        <w:rPr>
          <w:sz w:val="20"/>
        </w:rPr>
      </w:r>
    </w:p>
    <w:tbl>
      <w:tblPr>
        <w:tblW w:w="9468" w:type="dxa"/>
        <w:jc w:val="start"/>
        <w:tblInd w:w="0" w:type="dxa"/>
        <w:tblLayout w:type="fixed"/>
        <w:tblCellMar>
          <w:top w:w="0" w:type="dxa"/>
          <w:start w:w="108" w:type="dxa"/>
          <w:bottom w:w="0" w:type="dxa"/>
          <w:end w:w="108" w:type="dxa"/>
        </w:tblCellMar>
      </w:tblPr>
      <w:tblGrid>
        <w:gridCol w:w="4338"/>
        <w:gridCol w:w="720"/>
        <w:gridCol w:w="4410"/>
      </w:tblGrid>
      <w:tr>
        <w:trPr/>
        <w:tc>
          <w:tcPr>
            <w:tcW w:w="4338" w:type="dxa"/>
            <w:tcBorders/>
          </w:tcPr>
          <w:p>
            <w:pPr>
              <w:pStyle w:val="Normal"/>
              <w:keepNext w:val="true"/>
              <w:spacing w:lineRule="exact" w:line="240"/>
              <w:jc w:val="both"/>
              <w:rPr>
                <w:sz w:val="20"/>
              </w:rPr>
            </w:pPr>
            <w:r>
              <w:rPr>
                <w:b/>
                <w:sz w:val="20"/>
              </w:rPr>
              <w:t>ENRON NORTH AMERICA CORP.</w:t>
            </w:r>
          </w:p>
          <w:p>
            <w:pPr>
              <w:pStyle w:val="Normal"/>
              <w:keepNext w:val="true"/>
              <w:spacing w:lineRule="exact" w:line="240"/>
              <w:jc w:val="both"/>
              <w:rPr>
                <w:sz w:val="20"/>
              </w:rPr>
            </w:pPr>
            <w:r>
              <w:rPr>
                <w:sz w:val="20"/>
              </w:rPr>
            </w:r>
          </w:p>
          <w:p>
            <w:pPr>
              <w:pStyle w:val="Normal"/>
              <w:keepNext w:val="true"/>
              <w:spacing w:lineRule="exact" w:line="240"/>
              <w:jc w:val="both"/>
              <w:rPr>
                <w:sz w:val="20"/>
              </w:rPr>
            </w:pPr>
            <w:r>
              <w:rPr>
                <w:sz w:val="20"/>
              </w:rPr>
            </w:r>
          </w:p>
          <w:p>
            <w:pPr>
              <w:pStyle w:val="Normal"/>
              <w:keepNext w:val="true"/>
              <w:spacing w:lineRule="exact" w:line="240"/>
              <w:jc w:val="both"/>
              <w:rPr/>
            </w:pPr>
            <w:r>
              <w:rPr>
                <w:sz w:val="20"/>
              </w:rPr>
              <w:t>By:</w:t>
              <w:tab/>
            </w:r>
            <w:r>
              <w:rPr>
                <w:sz w:val="20"/>
                <w:u w:val="single"/>
              </w:rPr>
              <w:tab/>
              <w:tab/>
              <w:tab/>
              <w:tab/>
            </w:r>
          </w:p>
          <w:p>
            <w:pPr>
              <w:pStyle w:val="Normal"/>
              <w:keepNext w:val="true"/>
              <w:spacing w:lineRule="exact" w:line="240"/>
              <w:jc w:val="both"/>
              <w:rPr>
                <w:sz w:val="20"/>
              </w:rPr>
            </w:pPr>
            <w:r>
              <w:rPr>
                <w:sz w:val="20"/>
              </w:rPr>
              <w:t>Name:</w:t>
              <w:tab/>
            </w:r>
            <w:r>
              <w:rPr>
                <w:sz w:val="20"/>
                <w:u w:val="single"/>
              </w:rPr>
              <w:tab/>
              <w:tab/>
              <w:tab/>
              <w:tab/>
            </w:r>
          </w:p>
          <w:p>
            <w:pPr>
              <w:pStyle w:val="Normal"/>
              <w:keepNext w:val="true"/>
              <w:spacing w:lineRule="exact" w:line="240"/>
              <w:jc w:val="both"/>
              <w:rPr>
                <w:sz w:val="20"/>
              </w:rPr>
            </w:pPr>
            <w:r>
              <w:rPr>
                <w:sz w:val="20"/>
              </w:rPr>
              <w:t>Title:</w:t>
              <w:tab/>
            </w:r>
            <w:r>
              <w:rPr>
                <w:sz w:val="20"/>
                <w:u w:val="single"/>
              </w:rPr>
              <w:tab/>
              <w:tab/>
              <w:tab/>
              <w:tab/>
            </w:r>
          </w:p>
        </w:tc>
        <w:tc>
          <w:tcPr>
            <w:tcW w:w="720" w:type="dxa"/>
            <w:tcBorders/>
          </w:tcPr>
          <w:p>
            <w:pPr>
              <w:pStyle w:val="Normal"/>
              <w:keepNext w:val="true"/>
              <w:snapToGrid w:val="false"/>
              <w:spacing w:lineRule="exact" w:line="240"/>
              <w:jc w:val="both"/>
              <w:rPr>
                <w:sz w:val="20"/>
              </w:rPr>
            </w:pPr>
            <w:r>
              <w:rPr>
                <w:sz w:val="20"/>
              </w:rPr>
            </w:r>
          </w:p>
        </w:tc>
        <w:tc>
          <w:tcPr>
            <w:tcW w:w="4410" w:type="dxa"/>
            <w:tcBorders/>
          </w:tcPr>
          <w:p>
            <w:pPr>
              <w:pStyle w:val="Normal"/>
              <w:keepNext w:val="true"/>
              <w:spacing w:lineRule="exact" w:line="240"/>
              <w:jc w:val="both"/>
              <w:rPr>
                <w:b/>
                <w:sz w:val="20"/>
              </w:rPr>
            </w:pPr>
            <w:r>
              <w:rPr>
                <w:b/>
                <w:sz w:val="20"/>
              </w:rPr>
              <w:t>MERCED IRRIGATION DISTRICT</w:t>
            </w:r>
          </w:p>
          <w:p>
            <w:pPr>
              <w:pStyle w:val="Normal"/>
              <w:keepNext w:val="true"/>
              <w:spacing w:lineRule="exact" w:line="240"/>
              <w:jc w:val="both"/>
              <w:rPr>
                <w:b/>
                <w:sz w:val="20"/>
              </w:rPr>
            </w:pPr>
            <w:r>
              <w:rPr>
                <w:b/>
                <w:sz w:val="20"/>
              </w:rPr>
            </w:r>
          </w:p>
          <w:p>
            <w:pPr>
              <w:pStyle w:val="Normal"/>
              <w:keepNext w:val="true"/>
              <w:spacing w:lineRule="exact" w:line="240"/>
              <w:jc w:val="both"/>
              <w:rPr>
                <w:sz w:val="20"/>
              </w:rPr>
            </w:pPr>
            <w:r>
              <w:rPr>
                <w:sz w:val="20"/>
              </w:rPr>
            </w:r>
          </w:p>
          <w:p>
            <w:pPr>
              <w:pStyle w:val="Normal"/>
              <w:keepNext w:val="true"/>
              <w:spacing w:lineRule="exact" w:line="240"/>
              <w:jc w:val="both"/>
              <w:rPr/>
            </w:pPr>
            <w:r>
              <w:rPr>
                <w:sz w:val="20"/>
              </w:rPr>
              <w:t>By:</w:t>
              <w:tab/>
            </w:r>
            <w:r>
              <w:rPr>
                <w:sz w:val="20"/>
                <w:u w:val="single"/>
              </w:rPr>
              <w:tab/>
              <w:tab/>
              <w:tab/>
              <w:tab/>
            </w:r>
          </w:p>
          <w:p>
            <w:pPr>
              <w:pStyle w:val="Normal"/>
              <w:keepNext w:val="true"/>
              <w:spacing w:lineRule="exact" w:line="240"/>
              <w:jc w:val="both"/>
              <w:rPr>
                <w:sz w:val="20"/>
              </w:rPr>
            </w:pPr>
            <w:r>
              <w:rPr>
                <w:sz w:val="20"/>
              </w:rPr>
              <w:t>Name:</w:t>
              <w:tab/>
            </w:r>
            <w:r>
              <w:rPr>
                <w:sz w:val="20"/>
                <w:u w:val="single"/>
              </w:rPr>
              <w:tab/>
              <w:tab/>
              <w:tab/>
              <w:tab/>
            </w:r>
          </w:p>
          <w:p>
            <w:pPr>
              <w:pStyle w:val="Normal"/>
              <w:keepNext w:val="true"/>
              <w:spacing w:lineRule="exact" w:line="240"/>
              <w:jc w:val="both"/>
              <w:rPr>
                <w:sz w:val="20"/>
              </w:rPr>
            </w:pPr>
            <w:r>
              <w:rPr>
                <w:sz w:val="20"/>
              </w:rPr>
              <w:t>Title:</w:t>
              <w:tab/>
            </w:r>
            <w:r>
              <w:rPr>
                <w:sz w:val="20"/>
                <w:u w:val="single"/>
              </w:rPr>
              <w:tab/>
              <w:tab/>
              <w:tab/>
              <w:tab/>
            </w:r>
          </w:p>
        </w:tc>
      </w:tr>
    </w:tbl>
    <w:p>
      <w:pPr>
        <w:pStyle w:val="FootnoteText"/>
        <w:keepNext w:val="true"/>
        <w:widowControl/>
        <w:rPr>
          <w:rFonts w:ascii="Times New Roman" w:hAnsi="Times New Roman" w:cs="Times New Roman"/>
        </w:rPr>
      </w:pPr>
      <w:r>
        <w:rPr>
          <w:rFonts w:cs="Times New Roman" w:ascii="Times New Roman" w:hAnsi="Times New Roman"/>
        </w:rPr>
      </w:r>
    </w:p>
    <w:tbl>
      <w:tblPr>
        <w:tblW w:w="5058" w:type="dxa"/>
        <w:jc w:val="start"/>
        <w:tblInd w:w="0" w:type="dxa"/>
        <w:tblLayout w:type="fixed"/>
        <w:tblCellMar>
          <w:top w:w="0" w:type="dxa"/>
          <w:start w:w="108" w:type="dxa"/>
          <w:bottom w:w="0" w:type="dxa"/>
          <w:end w:w="108" w:type="dxa"/>
        </w:tblCellMar>
      </w:tblPr>
      <w:tblGrid>
        <w:gridCol w:w="4338"/>
        <w:gridCol w:w="720"/>
      </w:tblGrid>
      <w:tr>
        <w:trPr/>
        <w:tc>
          <w:tcPr>
            <w:tcW w:w="4338" w:type="dxa"/>
            <w:tcBorders/>
          </w:tcPr>
          <w:p>
            <w:pPr>
              <w:pStyle w:val="Normal"/>
              <w:keepNext w:val="true"/>
              <w:spacing w:lineRule="exact" w:line="240"/>
              <w:jc w:val="both"/>
              <w:rPr>
                <w:sz w:val="20"/>
              </w:rPr>
            </w:pPr>
            <w:r>
              <w:rPr>
                <w:b/>
                <w:sz w:val="20"/>
              </w:rPr>
              <w:t>ENRON CORP.</w:t>
            </w:r>
          </w:p>
          <w:p>
            <w:pPr>
              <w:pStyle w:val="Normal"/>
              <w:keepNext w:val="true"/>
              <w:spacing w:lineRule="exact" w:line="240"/>
              <w:jc w:val="both"/>
              <w:rPr>
                <w:sz w:val="20"/>
              </w:rPr>
            </w:pPr>
            <w:r>
              <w:rPr>
                <w:sz w:val="20"/>
              </w:rPr>
            </w:r>
          </w:p>
          <w:p>
            <w:pPr>
              <w:pStyle w:val="Normal"/>
              <w:keepNext w:val="true"/>
              <w:spacing w:lineRule="exact" w:line="240"/>
              <w:jc w:val="both"/>
              <w:rPr/>
            </w:pPr>
            <w:r>
              <w:rPr>
                <w:sz w:val="20"/>
              </w:rPr>
              <w:t>By:</w:t>
              <w:tab/>
            </w:r>
            <w:r>
              <w:rPr>
                <w:sz w:val="20"/>
                <w:u w:val="single"/>
              </w:rPr>
              <w:tab/>
              <w:tab/>
              <w:tab/>
              <w:tab/>
            </w:r>
          </w:p>
          <w:p>
            <w:pPr>
              <w:pStyle w:val="Normal"/>
              <w:keepNext w:val="true"/>
              <w:spacing w:lineRule="exact" w:line="240"/>
              <w:jc w:val="both"/>
              <w:rPr>
                <w:sz w:val="20"/>
              </w:rPr>
            </w:pPr>
            <w:r>
              <w:rPr>
                <w:sz w:val="20"/>
              </w:rPr>
              <w:t>Name:</w:t>
              <w:tab/>
            </w:r>
            <w:r>
              <w:rPr>
                <w:sz w:val="20"/>
                <w:u w:val="single"/>
              </w:rPr>
              <w:tab/>
              <w:tab/>
              <w:tab/>
              <w:tab/>
            </w:r>
          </w:p>
          <w:p>
            <w:pPr>
              <w:pStyle w:val="Normal"/>
              <w:keepNext w:val="true"/>
              <w:spacing w:lineRule="exact" w:line="240"/>
              <w:jc w:val="both"/>
              <w:rPr>
                <w:sz w:val="20"/>
              </w:rPr>
            </w:pPr>
            <w:r>
              <w:rPr>
                <w:sz w:val="20"/>
              </w:rPr>
              <w:t>Title:</w:t>
              <w:tab/>
            </w:r>
            <w:r>
              <w:rPr>
                <w:sz w:val="20"/>
                <w:u w:val="single"/>
              </w:rPr>
              <w:tab/>
              <w:tab/>
              <w:tab/>
              <w:tab/>
            </w:r>
          </w:p>
        </w:tc>
        <w:tc>
          <w:tcPr>
            <w:tcW w:w="720" w:type="dxa"/>
            <w:tcBorders/>
          </w:tcPr>
          <w:p>
            <w:pPr>
              <w:pStyle w:val="Normal"/>
              <w:keepNext w:val="true"/>
              <w:snapToGrid w:val="false"/>
              <w:spacing w:lineRule="exact" w:line="240"/>
              <w:jc w:val="both"/>
              <w:rPr>
                <w:sz w:val="20"/>
              </w:rPr>
            </w:pPr>
            <w:r>
              <w:rPr>
                <w:sz w:val="20"/>
              </w:rPr>
            </w:r>
          </w:p>
        </w:tc>
      </w:tr>
    </w:tbl>
    <w:p>
      <w:pPr>
        <w:pStyle w:val="FootnoteText"/>
        <w:keepNext w:val="true"/>
        <w:widowControl/>
        <w:rPr>
          <w:rFonts w:ascii="Times New Roman" w:hAnsi="Times New Roman" w:cs="Times New Roman"/>
        </w:rPr>
      </w:pPr>
      <w:r>
        <w:rPr>
          <w:rFonts w:cs="Times New Roman" w:ascii="Times New Roman" w:hAnsi="Times New Roman"/>
        </w:rPr>
      </w:r>
    </w:p>
    <w:p>
      <w:pPr>
        <w:pStyle w:val="FootnoteText"/>
        <w:keepNext w:val="true"/>
        <w:widowControl/>
        <w:jc w:val="center"/>
        <w:rPr>
          <w:rFonts w:ascii="Times New Roman" w:hAnsi="Times New Roman" w:cs="Times New Roman"/>
        </w:rPr>
      </w:pPr>
      <w:r>
        <w:rPr>
          <w:rFonts w:cs="Times New Roman" w:ascii="Times New Roman" w:hAnsi="Times New Roman"/>
        </w:rPr>
      </w:r>
    </w:p>
    <w:sectPr>
      <w:headerReference w:type="default" r:id="rId2"/>
      <w:footerReference w:type="default" r:id="rId3"/>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ind w:end="360"/>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/mnt/main-storage/datasets/enron-docs/doc/029amend_merced_irrigation_district_.doc</w:t>
    </w:r>
    <w:r>
      <w:rPr>
        <w:sz w:val="16"/>
        <w:szCs w:val="16"/>
      </w:rPr>
      <w:fldChar w:fldCharType="end"/>
    </w:r>
  </w:p>
  <w:p>
    <w:pPr>
      <w:pStyle w:val="Footer"/>
      <w:tabs>
        <w:tab w:val="clear" w:pos="4320"/>
        <w:tab w:val="right" w:pos="8640" w:leader="none"/>
      </w:tabs>
      <w:ind w:end="360"/>
      <w:jc w:val="center"/>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7</w:t>
    </w:r>
    <w:r>
      <w:rPr>
        <w:rStyle w:val="PageNumber"/>
        <w:sz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u w:val="single"/>
      </w:rPr>
    </w:pPr>
    <w:r>
      <w:rPr>
        <w:b/>
        <w:bCs/>
        <w:u w:val="single"/>
      </w:rPr>
      <w:t>Draft of 10/11/01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720" w:end="0"/>
      <w:jc w:val="both"/>
      <w:outlineLvl w:val="0"/>
    </w:pPr>
    <w:rPr>
      <w:b/>
      <w:sz w:val="2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spacing w:lineRule="exact" w:line="240"/>
      <w:jc w:val="center"/>
      <w:outlineLvl w:val="3"/>
    </w:pPr>
    <w:rPr>
      <w:b/>
      <w:sz w:val="22"/>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z w:val="22"/>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rFonts w:ascii="Arial" w:hAnsi="Arial" w:cs="Arial"/>
      <w:sz w:val="16"/>
      <w:vertAlign w:val="superscript"/>
    </w:rPr>
  </w:style>
  <w:style w:type="paragraph" w:styleId="Heading">
    <w:name w:val="Heading"/>
    <w:basedOn w:val="Normal"/>
    <w:next w:val="BodyText"/>
    <w:qFormat/>
    <w:pPr>
      <w:jc w:val="center"/>
    </w:pPr>
    <w:rPr>
      <w:b/>
      <w:sz w:val="22"/>
      <w:u w:val="single"/>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BodyText2">
    <w:name w:val="Body Text 2"/>
    <w:basedOn w:val="Normal"/>
    <w:qFormat/>
    <w:pPr>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xpanded">
    <w:name w:val="Expanded"/>
    <w:basedOn w:val="Normal"/>
    <w:next w:val="Normal"/>
    <w:qFormat/>
    <w:pPr>
      <w:spacing w:before="0" w:after="240"/>
      <w:jc w:val="center"/>
    </w:pPr>
    <w:rPr>
      <w:rFonts w:ascii="Tms Rmn;Times New Roman" w:hAnsi="Tms Rmn;Times New Roman" w:cs="Tms Rmn;Times New Roman"/>
      <w:b/>
      <w:caps/>
      <w:spacing w:val="60"/>
      <w:sz w:val="22"/>
    </w:rPr>
  </w:style>
  <w:style w:type="paragraph" w:styleId="Justified">
    <w:name w:val="Justified"/>
    <w:basedOn w:val="Normal"/>
    <w:next w:val="Heading2"/>
    <w:qFormat/>
    <w:pPr>
      <w:spacing w:before="0" w:after="120"/>
      <w:jc w:val="both"/>
    </w:pPr>
    <w:rPr>
      <w:rFonts w:ascii="Tms Rmn;Times New Roman" w:hAnsi="Tms Rmn;Times New Roman" w:cs="Tms Rmn;Times New Roman"/>
      <w:sz w:val="22"/>
    </w:rPr>
  </w:style>
  <w:style w:type="paragraph" w:styleId="FootnoteText">
    <w:name w:val="footnote text"/>
    <w:basedOn w:val="Normal"/>
    <w:pPr>
      <w:widowControl w:val="false"/>
    </w:pPr>
    <w:rPr>
      <w:rFonts w:ascii="Arial" w:hAnsi="Arial" w:cs="Arial"/>
      <w:sz w:val="20"/>
    </w:rPr>
  </w:style>
  <w:style w:type="paragraph" w:styleId="BodyTextIndent3">
    <w:name w:val="Body Text Indent 3"/>
    <w:basedOn w:val="Normal"/>
    <w:qFormat/>
    <w:pPr>
      <w:ind w:hanging="0" w:start="720" w:end="0"/>
      <w:jc w:val="both"/>
    </w:pPr>
    <w:rPr>
      <w:sz w:val="22"/>
    </w:rPr>
  </w:style>
  <w:style w:type="paragraph" w:styleId="BodyTextIndent">
    <w:name w:val="Body Text Indent"/>
    <w:basedOn w:val="Normal"/>
    <w:pPr>
      <w:ind w:hanging="0" w:start="1440" w:end="0"/>
      <w:jc w:val="both"/>
    </w:pPr>
    <w:rPr>
      <w:sz w:val="22"/>
    </w:rPr>
  </w:style>
  <w:style w:type="paragraph" w:styleId="BodyTextIndent2">
    <w:name w:val="Body Text Indent 2"/>
    <w:basedOn w:val="Normal"/>
    <w:qFormat/>
    <w:pPr>
      <w:keepNext w:val="true"/>
      <w:ind w:hanging="0" w:start="720" w:end="0"/>
      <w:jc w:val="both"/>
    </w:pPr>
    <w:rPr>
      <w:sz w:val="20"/>
    </w:rPr>
  </w:style>
  <w:style w:type="paragraph" w:styleId="BodyText3">
    <w:name w:val="Body Text 3"/>
    <w:basedOn w:val="Normal"/>
    <w:qFormat/>
    <w:pPr>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2001-09-24T11:58:00Z</dcterms:created>
  <dc:creator>mheard</dc:creator>
  <dc:description/>
  <dc:language>en-CA</dc:language>
  <cp:lastModifiedBy>sbaile2</cp:lastModifiedBy>
  <cp:lastPrinted>2001-10-11T11:10:00Z</cp:lastPrinted>
  <dcterms:modified xsi:type="dcterms:W3CDTF">2001-10-11T13:42:00Z</dcterms:modified>
  <cp:revision>38</cp:revision>
  <dc:subject/>
  <dc:title>AMENDMENT TO MASTER AGREEMENT</dc:title>
</cp:coreProperties>
</file>