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ind w:hanging="0" w:start="0"/>
        <w:rPr/>
      </w:pPr>
      <w:r>
        <w:rPr/>
        <w:t>Draft of 12/11/00</w:t>
      </w:r>
    </w:p>
    <w:p>
      <w:pPr>
        <w:pStyle w:val="Normal"/>
        <w:jc w:val="end"/>
        <w:rPr>
          <w:b/>
          <w:sz w:val="22"/>
        </w:rPr>
      </w:pPr>
      <w:r>
        <w:rPr>
          <w:b/>
          <w:sz w:val="22"/>
        </w:rPr>
      </w:r>
    </w:p>
    <w:p>
      <w:pPr>
        <w:pStyle w:val="Normal"/>
        <w:jc w:val="end"/>
        <w:rPr>
          <w:b/>
          <w:sz w:val="22"/>
        </w:rPr>
      </w:pPr>
      <w:r>
        <w:rPr>
          <w:b/>
          <w:sz w:val="22"/>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sz w:val="22"/>
        </w:rPr>
      </w:pPr>
      <w:r>
        <w:rPr>
          <w:b/>
          <w:sz w:val="22"/>
        </w:rPr>
        <w:t>dated as of _________________, 2000</w:t>
      </w:r>
    </w:p>
    <w:p>
      <w:pPr>
        <w:pStyle w:val="Normal"/>
        <w:tabs>
          <w:tab w:val="clear" w:pos="720"/>
          <w:tab w:val="center" w:pos="5760" w:leader="none"/>
        </w:tabs>
        <w:spacing w:before="120" w:after="0"/>
        <w:jc w:val="center"/>
        <w:rPr>
          <w:b/>
          <w:sz w:val="22"/>
        </w:rPr>
      </w:pPr>
      <w:r>
        <w:rPr>
          <w:b/>
          <w:sz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sz w:val="22"/>
              </w:rPr>
            </w:pPr>
            <w:r>
              <w:rPr>
                <w:b/>
                <w:sz w:val="22"/>
              </w:rPr>
              <w:t>ENRON CAPITAL &amp; TRADE RESOURCES INTERNATIONAL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color w:val="808000"/>
                <w:sz w:val="22"/>
              </w:rPr>
            </w:pPr>
            <w:r>
              <w:rPr>
                <w:b/>
                <w:sz w:val="22"/>
              </w:rPr>
              <w:t>SITA, a company organized under the law of France (“Party B”)</w:t>
            </w:r>
          </w:p>
        </w:tc>
      </w:tr>
    </w:tbl>
    <w:p>
      <w:pPr>
        <w:pStyle w:val="Normal"/>
        <w:spacing w:before="480" w:after="0"/>
        <w:jc w:val="both"/>
        <w:rPr/>
      </w:pPr>
      <w:r>
        <w:rPr>
          <w:b/>
          <w:sz w:val="22"/>
        </w:rPr>
        <w:t>Part 1.</w:t>
      </w:r>
      <w:r>
        <w:rPr>
          <w:sz w:val="22"/>
        </w:rPr>
        <w:t xml:space="preserve"> </w:t>
      </w:r>
      <w:r>
        <w:rPr>
          <w:b/>
          <w:sz w:val="22"/>
        </w:rPr>
        <w:t>Termination Provisions.</w:t>
      </w:r>
    </w:p>
    <w:p>
      <w:pPr>
        <w:pStyle w:val="Normal"/>
        <w:spacing w:lineRule="exact" w:line="240" w:before="240" w:after="0"/>
        <w:ind w:firstLine="720" w:end="0"/>
        <w:jc w:val="both"/>
        <w:rPr/>
      </w:pPr>
      <w:r>
        <w:rPr>
          <w:sz w:val="22"/>
        </w:rPr>
        <w:t>(a)</w:t>
        <w:tab/>
      </w:r>
      <w:r>
        <w:rPr>
          <w:b/>
          <w:sz w:val="22"/>
        </w:rPr>
        <w:t>“Specified Entity”</w:t>
      </w:r>
      <w:r>
        <w:rPr>
          <w:sz w:val="22"/>
        </w:rPr>
        <w:t xml:space="preserve"> means in relation to Party A, none; and in relation to Party B, none, with regard, in both cases, to Section 5(a)(v), 5(a)(vi), 5(a)(vii) and 5(b)(iv) of this Agreement.</w:t>
      </w:r>
    </w:p>
    <w:p>
      <w:pPr>
        <w:pStyle w:val="Normal"/>
        <w:spacing w:lineRule="exact" w:line="240" w:before="240" w:after="0"/>
        <w:ind w:firstLine="720" w:end="0"/>
        <w:jc w:val="both"/>
        <w:rPr/>
      </w:pPr>
      <w:r>
        <w:rPr>
          <w:sz w:val="22"/>
        </w:rPr>
        <w:t>(b)</w:t>
        <w:tab/>
      </w:r>
      <w:r>
        <w:rPr>
          <w:b/>
          <w:bCs/>
          <w:sz w:val="22"/>
        </w:rPr>
        <w:t>“Specified Transaction”</w:t>
      </w:r>
      <w:r>
        <w:rPr>
          <w:sz w:val="22"/>
        </w:rPr>
        <w:t xml:space="preserve"> will have the meaning specified in Section 14 of this Agreement.</w:t>
      </w:r>
    </w:p>
    <w:p>
      <w:pPr>
        <w:pStyle w:val="Normal"/>
        <w:spacing w:lineRule="exact" w:line="240" w:before="240" w:after="0"/>
        <w:ind w:firstLine="720" w:end="0"/>
        <w:jc w:val="both"/>
        <w:rPr/>
      </w:pPr>
      <w:r>
        <w:rPr>
          <w:sz w:val="22"/>
        </w:rPr>
        <w:t>(c)</w:t>
        <w:tab/>
        <w:t>The “</w:t>
      </w:r>
      <w:r>
        <w:rPr>
          <w:b/>
          <w:sz w:val="22"/>
        </w:rPr>
        <w:t>Cross Default”</w:t>
      </w:r>
      <w:r>
        <w:rPr>
          <w:sz w:val="22"/>
        </w:rPr>
        <w:t xml:space="preserve"> provisions of Section 5(a)(vi) will apply to Party A, and will apply to Party B. </w:t>
      </w:r>
    </w:p>
    <w:p>
      <w:pPr>
        <w:pStyle w:val="Normal"/>
        <w:spacing w:lineRule="exact" w:line="240" w:before="240" w:after="0"/>
        <w:ind w:start="360" w:end="0"/>
        <w:jc w:val="both"/>
        <w:rPr>
          <w:bCs/>
          <w:sz w:val="22"/>
        </w:rPr>
      </w:pPr>
      <w:r>
        <w:rPr>
          <w:bCs/>
          <w:sz w:val="22"/>
        </w:rPr>
        <w:t>For the purpose of Section 5(a)(vi) of this Agreement:</w:t>
      </w:r>
    </w:p>
    <w:p>
      <w:pPr>
        <w:pStyle w:val="Normal"/>
        <w:spacing w:lineRule="exact" w:line="240" w:before="240" w:after="0"/>
        <w:ind w:start="360" w:end="0"/>
        <w:jc w:val="both"/>
        <w:rPr/>
      </w:pPr>
      <w:r>
        <w:rPr>
          <w:b/>
          <w:sz w:val="22"/>
        </w:rPr>
        <w:t>“</w:t>
      </w:r>
      <w:r>
        <w:rPr>
          <w:b/>
          <w:sz w:val="22"/>
        </w:rPr>
        <w:t>Specified Indebtedness”</w:t>
      </w:r>
      <w:r>
        <w:rPr>
          <w:bCs/>
          <w:sz w:val="22"/>
        </w:rPr>
        <w:t xml:space="preserve"> will have the meaning specified in Section 14 of this Agreement. </w:t>
      </w:r>
    </w:p>
    <w:p>
      <w:pPr>
        <w:pStyle w:val="Normal"/>
        <w:spacing w:lineRule="exact" w:line="240" w:before="240" w:after="0"/>
        <w:ind w:start="360" w:end="0"/>
        <w:jc w:val="both"/>
        <w:rPr/>
      </w:pPr>
      <w:r>
        <w:rPr>
          <w:b/>
          <w:sz w:val="22"/>
        </w:rPr>
        <w:t>“</w:t>
      </w:r>
      <w:r>
        <w:rPr>
          <w:b/>
          <w:sz w:val="22"/>
        </w:rPr>
        <w:t>Threshold Amount”</w:t>
      </w:r>
      <w:r>
        <w:rPr>
          <w:sz w:val="22"/>
        </w:rPr>
        <w:t xml:space="preserve"> means:  with respect to Party A, U.S. $100,000,000 (or its equivalent in another currency); with respect to Party A’s Credit Support Provider, U.S. $100,000,000 (or its equivalent in another currency); and with respect to Party B, U.S. $100,000,000 (or its equivalent in another currency)</w:t>
      </w:r>
      <w:r>
        <w:rPr>
          <w:color w:val="000000"/>
          <w:sz w:val="22"/>
        </w:rPr>
        <w:t xml:space="preserve">; </w:t>
      </w:r>
      <w:r>
        <w:rPr>
          <w:sz w:val="22"/>
          <w:u w:val="single"/>
        </w:rPr>
        <w:t>provided</w:t>
      </w:r>
      <w:r>
        <w:rPr>
          <w:sz w:val="22"/>
        </w:rPr>
        <w:t xml:space="preserve">, </w:t>
      </w:r>
      <w:r>
        <w:rPr>
          <w:sz w:val="22"/>
          <w:u w:val="single"/>
        </w:rPr>
        <w:t>that</w:t>
      </w:r>
      <w:r>
        <w:rPr>
          <w:sz w:val="22"/>
        </w:rPr>
        <w:t>, such Threshold Amount shall apply individually and not collectively with respect to each entity set forth above notwithstanding anything to the contrary set forth in Section 5(a)(vi) of the Master Agreement.</w:t>
      </w:r>
    </w:p>
    <w:p>
      <w:pPr>
        <w:pStyle w:val="Normal"/>
        <w:spacing w:lineRule="exact" w:line="240" w:before="240" w:after="0"/>
        <w:ind w:firstLine="720" w:end="0"/>
        <w:jc w:val="both"/>
        <w:rPr/>
      </w:pPr>
      <w:r>
        <w:rPr>
          <w:sz w:val="22"/>
        </w:rPr>
        <w:t>(d)</w:t>
        <w:tab/>
        <w:t xml:space="preserve">The </w:t>
      </w:r>
      <w:r>
        <w:rPr>
          <w:b/>
          <w:sz w:val="22"/>
        </w:rPr>
        <w:t>“Credit Event Upon Merger”</w:t>
      </w:r>
      <w:r>
        <w:rPr>
          <w:sz w:val="22"/>
        </w:rPr>
        <w:t xml:space="preserve"> provisions of Section 5(b)(iv) as amended below will apply to Party A and to Party B.</w:t>
      </w:r>
    </w:p>
    <w:p>
      <w:pPr>
        <w:pStyle w:val="Normal"/>
        <w:spacing w:lineRule="exact" w:line="240" w:before="240" w:after="0"/>
        <w:ind w:firstLine="720" w:end="0"/>
        <w:jc w:val="both"/>
        <w:rPr/>
      </w:pPr>
      <w:r>
        <w:rPr>
          <w:sz w:val="22"/>
        </w:rPr>
        <w:t>(e)</w:t>
        <w:tab/>
        <w:t xml:space="preserve">The </w:t>
      </w:r>
      <w:r>
        <w:rPr>
          <w:b/>
          <w:sz w:val="22"/>
        </w:rPr>
        <w:t>“Automatic Early Termination”</w:t>
      </w:r>
      <w:r>
        <w:rPr>
          <w:sz w:val="22"/>
        </w:rPr>
        <w:t xml:space="preserve"> provision of Section 6(a) will not apply to Party A or to Party B.</w:t>
      </w:r>
    </w:p>
    <w:p>
      <w:pPr>
        <w:pStyle w:val="Normal"/>
        <w:spacing w:lineRule="exact" w:line="240" w:before="240" w:after="0"/>
        <w:ind w:firstLine="720" w:end="0"/>
        <w:jc w:val="both"/>
        <w:rPr/>
      </w:pPr>
      <w:r>
        <w:rPr>
          <w:sz w:val="22"/>
        </w:rPr>
        <w:t>(f)</w:t>
        <w:tab/>
      </w:r>
      <w:r>
        <w:rPr>
          <w:b/>
          <w:sz w:val="22"/>
        </w:rPr>
        <w:t>Payments on Early Termination.</w:t>
      </w:r>
      <w:r>
        <w:rPr>
          <w:sz w:val="22"/>
        </w:rPr>
        <w:t xml:space="preserve">  For the purpose of Section 6(e):  (i) Loss will apply, and (ii) the Second Method will apply.</w:t>
      </w:r>
    </w:p>
    <w:p>
      <w:pPr>
        <w:pStyle w:val="Normal"/>
        <w:spacing w:lineRule="exact" w:line="240" w:before="240" w:after="0"/>
        <w:ind w:firstLine="720" w:end="0"/>
        <w:jc w:val="both"/>
        <w:rPr/>
      </w:pPr>
      <w:r>
        <w:rPr>
          <w:sz w:val="22"/>
        </w:rPr>
        <w:t>(g)</w:t>
        <w:tab/>
      </w:r>
      <w:r>
        <w:rPr>
          <w:b/>
          <w:sz w:val="22"/>
        </w:rPr>
        <w:t>“Termination Currency”</w:t>
      </w:r>
      <w:r>
        <w:rPr>
          <w:sz w:val="22"/>
        </w:rPr>
        <w:t xml:space="preserve"> means the Euro, except as otherwise agreed in any Transaction.</w:t>
      </w:r>
    </w:p>
    <w:p>
      <w:pPr>
        <w:pStyle w:val="Normal"/>
        <w:spacing w:lineRule="exact" w:line="240" w:before="240" w:after="0"/>
        <w:ind w:firstLine="720" w:end="0"/>
        <w:jc w:val="both"/>
        <w:rPr/>
      </w:pPr>
      <w:r>
        <w:rPr>
          <w:sz w:val="22"/>
        </w:rPr>
        <w:t>(h)</w:t>
        <w:tab/>
        <w:t>Section 5(b)(iv) is hereby amended by adding the following phrase between the closing parenthesis and the semicolon at the end thereof:  “</w:t>
      </w:r>
      <w:r>
        <w:rPr>
          <w:sz w:val="22"/>
          <w:u w:val="single"/>
        </w:rPr>
        <w:t>provided</w:t>
      </w:r>
      <w:r>
        <w:rPr>
          <w:sz w:val="22"/>
        </w:rPr>
        <w:t xml:space="preserve">, </w:t>
      </w:r>
      <w:r>
        <w:rPr>
          <w:sz w:val="22"/>
          <w:u w:val="single"/>
        </w:rPr>
        <w:t>however</w:t>
      </w:r>
      <w:r>
        <w:rPr>
          <w:sz w:val="22"/>
        </w:rPr>
        <w:t>,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collateral in an amount satisfactory to Y in its sole discretion.</w:t>
      </w:r>
    </w:p>
    <w:p>
      <w:pPr>
        <w:pStyle w:val="Normal"/>
        <w:spacing w:lineRule="exact" w:line="240" w:before="240" w:after="0"/>
        <w:ind w:firstLine="720" w:end="0"/>
        <w:jc w:val="both"/>
        <w:rPr/>
      </w:pPr>
      <w:r>
        <w:rPr>
          <w:sz w:val="22"/>
        </w:rPr>
        <w:t>(i)</w:t>
      </w:r>
      <w:r>
        <w:rPr>
          <w:b/>
          <w:sz w:val="22"/>
        </w:rPr>
        <w:tab/>
        <w:t>“Contractual Currency”</w:t>
      </w:r>
      <w:r>
        <w:rPr>
          <w:sz w:val="22"/>
        </w:rPr>
        <w:t xml:space="preserve"> unless otherwise specified in a Confirmation, shall mean the Euro.</w:t>
      </w:r>
    </w:p>
    <w:p>
      <w:pPr>
        <w:pStyle w:val="Normal"/>
        <w:numPr>
          <w:ilvl w:val="0"/>
          <w:numId w:val="3"/>
        </w:numPr>
        <w:spacing w:lineRule="exact" w:line="240" w:before="240" w:after="0"/>
        <w:jc w:val="both"/>
        <w:rPr>
          <w:sz w:val="22"/>
        </w:rPr>
      </w:pPr>
      <w:r>
        <w:rPr>
          <w:b/>
          <w:bCs/>
          <w:sz w:val="22"/>
        </w:rPr>
        <w:t>“</w:t>
      </w:r>
      <w:r>
        <w:rPr>
          <w:b/>
          <w:bCs/>
          <w:sz w:val="22"/>
        </w:rPr>
        <w:t xml:space="preserve">Additional Termination Event” </w:t>
      </w:r>
      <w:r>
        <w:rPr>
          <w:sz w:val="22"/>
        </w:rPr>
        <w:t>will not apply unless specified in the relevant Confirmation.</w:t>
      </w:r>
    </w:p>
    <w:p>
      <w:pPr>
        <w:pStyle w:val="Normal"/>
        <w:spacing w:lineRule="exact" w:line="240" w:before="240" w:after="0"/>
        <w:ind w:firstLine="720" w:end="0"/>
        <w:jc w:val="both"/>
        <w:rPr/>
      </w:pPr>
      <w:r>
        <w:rPr>
          <w:sz w:val="22"/>
        </w:rPr>
        <w:t>(k)</w:t>
        <w:tab/>
      </w:r>
      <w:r>
        <w:rPr>
          <w:b/>
          <w:bCs/>
          <w:sz w:val="22"/>
        </w:rPr>
        <w:t>Events of Default.</w:t>
      </w:r>
      <w:r>
        <w:rPr>
          <w:sz w:val="22"/>
        </w:rPr>
        <w:t xml:space="preserve">  The following provision shall be inserted as Section 5(a)(vi)(3) of this Agreement:</w:t>
      </w:r>
    </w:p>
    <w:p>
      <w:pPr>
        <w:pStyle w:val="Normal"/>
        <w:spacing w:lineRule="exact" w:line="240" w:before="240" w:after="0"/>
        <w:ind w:start="720" w:end="0"/>
        <w:jc w:val="both"/>
        <w:rPr>
          <w:sz w:val="22"/>
        </w:rPr>
      </w:pPr>
      <w:r>
        <w:rPr>
          <w:sz w:val="22"/>
        </w:rPr>
        <w:t>“</w:t>
      </w:r>
      <w:r>
        <w:rPr>
          <w:sz w:val="22"/>
        </w:rPr>
        <w:t>If an event has occurred under 5(a)(vi)(1) and 5(a)(vi)(2) of this Agreement, which would constitute an Event of Default but for the fact that neither the aggregate amount calculated in respect of 5(a)(vi)(1) nor the aggregate amount calculated in respect of 5(a)(vi)(2) exceeds the Threshold Amount, then the aggregate amount arising under 5(a)(vi)(1) and the aggregate amount arising under 5(a)(vi)(2) shall be construed so as to produce a “Combined Aggregate Amount”.  If the Combined Aggregate Amount exceeds the Threshold Amount, then it shall be a Cross Default.”</w:t>
      </w:r>
    </w:p>
    <w:p>
      <w:pPr>
        <w:pStyle w:val="Normal"/>
        <w:tabs>
          <w:tab w:val="clear" w:pos="720"/>
          <w:tab w:val="left" w:pos="1170" w:leader="none"/>
        </w:tabs>
        <w:spacing w:lineRule="exact" w:line="480"/>
        <w:jc w:val="both"/>
        <w:rPr>
          <w:b/>
          <w:bCs/>
          <w:sz w:val="22"/>
          <w:szCs w:val="22"/>
        </w:rPr>
      </w:pPr>
      <w:r>
        <w:rPr>
          <w:b/>
          <w:bCs/>
          <w:sz w:val="22"/>
          <w:szCs w:val="22"/>
        </w:rPr>
        <w:t>Part 2.</w:t>
        <w:tab/>
        <w:t>Tax Representations.</w:t>
      </w:r>
    </w:p>
    <w:p>
      <w:pPr>
        <w:pStyle w:val="Normal"/>
        <w:spacing w:lineRule="exact" w:line="240" w:before="240" w:after="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bCs/>
          <w:sz w:val="22"/>
          <w:szCs w:val="22"/>
        </w:rPr>
        <w:t>(b)</w:t>
        <w:tab/>
        <w:t>Payee Representations.</w:t>
      </w:r>
      <w:r>
        <w:rPr>
          <w:sz w:val="22"/>
          <w:szCs w:val="22"/>
        </w:rPr>
        <w:t xml:space="preserve">  For the purpose of Section 3(f), Party A and Party B make the following representation:</w:t>
      </w:r>
    </w:p>
    <w:p>
      <w:pPr>
        <w:pStyle w:val="Normal"/>
        <w:spacing w:lineRule="exact" w:line="240" w:before="240" w:after="0"/>
        <w:ind w:start="720" w:end="0"/>
        <w:jc w:val="both"/>
        <w:rPr>
          <w:sz w:val="22"/>
          <w:szCs w:val="22"/>
        </w:rPr>
      </w:pPr>
      <w:r>
        <w:rPr>
          <w:sz w:val="22"/>
          <w:szCs w:val="22"/>
        </w:rPr>
        <w:t>It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or to be received by it in connection with this Agreement, and no such payment is attributable to a trade or business carried on by it through a permanent establishment in the Specified Jurisdiction.</w:t>
      </w:r>
    </w:p>
    <w:p>
      <w:pPr>
        <w:pStyle w:val="Normal"/>
        <w:spacing w:lineRule="exact" w:line="240" w:before="240" w:after="0"/>
        <w:jc w:val="both"/>
        <w:rPr/>
      </w:pPr>
      <w:r>
        <w:rPr>
          <w:sz w:val="22"/>
          <w:szCs w:val="22"/>
        </w:rPr>
        <w:t>"</w:t>
      </w:r>
      <w:r>
        <w:rPr>
          <w:b/>
          <w:bCs/>
          <w:sz w:val="22"/>
          <w:szCs w:val="22"/>
        </w:rPr>
        <w:t>Specified Treaty</w:t>
      </w:r>
      <w:r>
        <w:rPr>
          <w:sz w:val="22"/>
          <w:szCs w:val="22"/>
        </w:rPr>
        <w:t>" means the income tax treaty between the United States and France.</w:t>
      </w:r>
    </w:p>
    <w:p>
      <w:pPr>
        <w:pStyle w:val="Normal"/>
        <w:spacing w:lineRule="exact" w:line="240" w:before="240" w:after="0"/>
        <w:jc w:val="both"/>
        <w:rPr/>
      </w:pPr>
      <w:r>
        <w:rPr>
          <w:sz w:val="22"/>
          <w:szCs w:val="22"/>
        </w:rPr>
        <w:t>"</w:t>
      </w:r>
      <w:r>
        <w:rPr>
          <w:b/>
          <w:bCs/>
          <w:sz w:val="22"/>
          <w:szCs w:val="22"/>
        </w:rPr>
        <w:t>Specified Jurisdiction</w:t>
      </w:r>
      <w:r>
        <w:rPr>
          <w:sz w:val="22"/>
          <w:szCs w:val="22"/>
        </w:rPr>
        <w:t>" means, with respect to Party A, France.</w:t>
      </w:r>
    </w:p>
    <w:p>
      <w:pPr>
        <w:pStyle w:val="Normal"/>
        <w:spacing w:lineRule="exact" w:line="240" w:before="240" w:after="0"/>
        <w:jc w:val="both"/>
        <w:rPr>
          <w:b/>
          <w:bCs/>
          <w:sz w:val="22"/>
          <w:szCs w:val="22"/>
        </w:rPr>
      </w:pPr>
      <w:r>
        <w:rPr>
          <w:sz w:val="22"/>
          <w:szCs w:val="22"/>
        </w:rPr>
        <w:t>"</w:t>
      </w:r>
      <w:r>
        <w:rPr>
          <w:b/>
          <w:bCs/>
          <w:sz w:val="22"/>
          <w:szCs w:val="22"/>
        </w:rPr>
        <w:t>Specified Jurisdiction</w:t>
      </w:r>
      <w:r>
        <w:rPr>
          <w:sz w:val="22"/>
          <w:szCs w:val="22"/>
        </w:rPr>
        <w:t>" means, with respect to Party B, the United States.</w:t>
      </w:r>
    </w:p>
    <w:p>
      <w:pPr>
        <w:pStyle w:val="Normal"/>
        <w:spacing w:lineRule="exact" w:line="480"/>
        <w:jc w:val="both"/>
        <w:rPr>
          <w:b/>
          <w:bCs/>
          <w:sz w:val="22"/>
          <w:szCs w:val="22"/>
        </w:rPr>
      </w:pPr>
      <w:r>
        <w:rPr>
          <w:b/>
          <w:bCs/>
          <w:sz w:val="22"/>
          <w:szCs w:val="22"/>
        </w:rPr>
      </w:r>
    </w:p>
    <w:p>
      <w:pPr>
        <w:pStyle w:val="Normal"/>
        <w:spacing w:lineRule="exact" w:line="480"/>
        <w:jc w:val="both"/>
        <w:rPr>
          <w:b/>
          <w:bCs/>
          <w:sz w:val="22"/>
          <w:szCs w:val="22"/>
        </w:rPr>
      </w:pPr>
      <w:r>
        <w:rPr>
          <w:b/>
          <w:bCs/>
          <w:sz w:val="22"/>
          <w:szCs w:val="22"/>
        </w:rPr>
      </w:r>
    </w:p>
    <w:p>
      <w:pPr>
        <w:pStyle w:val="Normal"/>
        <w:spacing w:lineRule="exact" w:line="480"/>
        <w:jc w:val="both"/>
        <w:rPr>
          <w:b/>
          <w:bCs/>
          <w:sz w:val="22"/>
          <w:szCs w:val="22"/>
        </w:rPr>
      </w:pPr>
      <w:r>
        <w:rPr>
          <w:b/>
          <w:bCs/>
          <w:sz w:val="22"/>
          <w:szCs w:val="22"/>
        </w:rPr>
        <w:t>Part 3.</w:t>
        <w:tab/>
        <w:t>Agreement to Deliver Documents.</w:t>
      </w:r>
    </w:p>
    <w:p>
      <w:pPr>
        <w:pStyle w:val="Normal"/>
        <w:spacing w:lineRule="exact" w:line="240" w:before="240" w:after="0"/>
        <w:jc w:val="both"/>
        <w:rPr>
          <w:sz w:val="22"/>
          <w:szCs w:val="22"/>
        </w:rPr>
      </w:pPr>
      <w:r>
        <w:rPr>
          <w:sz w:val="22"/>
          <w:szCs w:val="22"/>
        </w:rPr>
        <w:t>For the purpose of Section 4(a), each party agrees to deliver the following documents, as applicable:</w:t>
      </w:r>
    </w:p>
    <w:p>
      <w:pPr>
        <w:pStyle w:val="Normal"/>
        <w:spacing w:lineRule="exact" w:line="240" w:before="240" w:after="0"/>
        <w:jc w:val="both"/>
        <w:rPr>
          <w:sz w:val="22"/>
          <w:szCs w:val="22"/>
        </w:rPr>
      </w:pPr>
      <w:r>
        <w:rPr>
          <w:sz w:val="22"/>
          <w:szCs w:val="22"/>
        </w:rPr>
        <w:t>(a)</w:t>
        <w:tab/>
        <w:t>Tax forms, documents, or certificates to be delivered are:</w:t>
      </w:r>
    </w:p>
    <w:p>
      <w:pPr>
        <w:pStyle w:val="Normal"/>
        <w:spacing w:lineRule="exact" w:line="240" w:before="240" w:after="0"/>
        <w:jc w:val="both"/>
        <w:rPr>
          <w:sz w:val="22"/>
          <w:szCs w:val="22"/>
        </w:rPr>
      </w:pPr>
      <w:r>
        <w:rPr>
          <w:sz w:val="22"/>
          <w:szCs w:val="22"/>
        </w:rPr>
        <w:t>Upon reasonable request, each party shall provide the other, as soon as practicable following written demand, a properly completed and executed exemption form, certificate or other document that will allow the other party to make any payment hereunder without deduction or withholding for Taxes, including, but not limited to, the United States Internal Revenue Service Form W</w:t>
        <w:softHyphen/>
        <w:t>-8BEN and/or W-8ECI, or any appropriate successor form.</w:t>
      </w:r>
    </w:p>
    <w:p>
      <w:pPr>
        <w:pStyle w:val="BodyTextIndent2"/>
        <w:widowControl/>
        <w:tabs>
          <w:tab w:val="clear" w:pos="1350"/>
        </w:tabs>
        <w:spacing w:lineRule="exact" w:line="240" w:before="240" w:after="0"/>
        <w:ind w:hanging="0" w:end="0"/>
        <w:rPr/>
      </w:pPr>
      <w:r>
        <w:rPr/>
        <w:t>(b)</w:t>
        <w:tab/>
        <w:t>Other documents to be delivered are:</w:t>
      </w:r>
    </w:p>
    <w:tbl>
      <w:tblPr>
        <w:tblW w:w="10296" w:type="dxa"/>
        <w:jc w:val="start"/>
        <w:tblInd w:w="0" w:type="dxa"/>
        <w:tblLayout w:type="fixed"/>
        <w:tblCellMar>
          <w:top w:w="0" w:type="dxa"/>
          <w:start w:w="216" w:type="dxa"/>
          <w:bottom w:w="0" w:type="dxa"/>
          <w:end w:w="216" w:type="dxa"/>
        </w:tblCellMar>
      </w:tblPr>
      <w:tblGrid>
        <w:gridCol w:w="1926"/>
        <w:gridCol w:w="4104"/>
        <w:gridCol w:w="2340"/>
        <w:gridCol w:w="1926"/>
      </w:tblGrid>
      <w:tr>
        <w:trPr/>
        <w:tc>
          <w:tcPr>
            <w:tcW w:w="1926" w:type="dxa"/>
            <w:tcBorders/>
          </w:tcPr>
          <w:p>
            <w:pPr>
              <w:pStyle w:val="Normal"/>
              <w:spacing w:lineRule="atLeast" w:line="240" w:before="240" w:after="0"/>
              <w:rPr>
                <w:sz w:val="22"/>
              </w:rPr>
            </w:pPr>
            <w:r>
              <w:rPr>
                <w:b/>
                <w:sz w:val="22"/>
              </w:rPr>
              <w:t>Party required to deliver document</w:t>
            </w:r>
          </w:p>
        </w:tc>
        <w:tc>
          <w:tcPr>
            <w:tcW w:w="4104" w:type="dxa"/>
            <w:tcBorders/>
          </w:tcPr>
          <w:p>
            <w:pPr>
              <w:pStyle w:val="Normal"/>
              <w:spacing w:lineRule="atLeast" w:line="240" w:before="240" w:after="0"/>
              <w:rPr>
                <w:sz w:val="22"/>
                <w:u w:val="single"/>
              </w:rPr>
            </w:pPr>
            <w:r>
              <w:rPr>
                <w:b/>
                <w:sz w:val="22"/>
              </w:rPr>
              <w:t>Form/Document/Certificate</w:t>
            </w:r>
          </w:p>
        </w:tc>
        <w:tc>
          <w:tcPr>
            <w:tcW w:w="2340" w:type="dxa"/>
            <w:tcBorders/>
          </w:tcPr>
          <w:p>
            <w:pPr>
              <w:pStyle w:val="Normal"/>
              <w:spacing w:lineRule="atLeast" w:line="240" w:before="240" w:after="0"/>
              <w:rPr>
                <w:sz w:val="22"/>
              </w:rPr>
            </w:pPr>
            <w:r>
              <w:rPr>
                <w:b/>
                <w:sz w:val="22"/>
              </w:rPr>
              <w:t>Date by which to be delivered</w:t>
            </w:r>
          </w:p>
        </w:tc>
        <w:tc>
          <w:tcPr>
            <w:tcW w:w="1926" w:type="dxa"/>
            <w:tcBorders/>
          </w:tcPr>
          <w:p>
            <w:pPr>
              <w:pStyle w:val="Normal"/>
              <w:spacing w:lineRule="atLeast" w:line="240" w:before="240" w:after="0"/>
              <w:rPr>
                <w:sz w:val="22"/>
              </w:rPr>
            </w:pPr>
            <w:r>
              <w:rPr>
                <w:b/>
                <w:sz w:val="22"/>
              </w:rPr>
              <w:t>Covered by Section 3(d) Representation</w:t>
              <w:br/>
            </w:r>
          </w:p>
        </w:tc>
      </w:tr>
      <w:tr>
        <w:trPr/>
        <w:tc>
          <w:tcPr>
            <w:tcW w:w="1926" w:type="dxa"/>
            <w:tcBorders/>
          </w:tcPr>
          <w:p>
            <w:pPr>
              <w:pStyle w:val="Normal"/>
              <w:spacing w:lineRule="atLeast" w:line="240" w:before="240" w:after="0"/>
              <w:jc w:val="both"/>
              <w:rPr>
                <w:b/>
                <w:sz w:val="22"/>
              </w:rPr>
            </w:pPr>
            <w:r>
              <w:rPr>
                <w:sz w:val="22"/>
              </w:rPr>
              <w:t>Party A</w:t>
            </w:r>
          </w:p>
        </w:tc>
        <w:tc>
          <w:tcPr>
            <w:tcW w:w="4104"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Duly executed Credit Support Document specified in Part 4(d)</w:t>
            </w:r>
          </w:p>
        </w:tc>
        <w:tc>
          <w:tcPr>
            <w:tcW w:w="2340" w:type="dxa"/>
            <w:tcBorders/>
          </w:tcPr>
          <w:p>
            <w:pPr>
              <w:pStyle w:val="Normal"/>
              <w:spacing w:lineRule="atLeast" w:line="240" w:before="240" w:after="0"/>
              <w:jc w:val="both"/>
              <w:rPr>
                <w:b/>
                <w:sz w:val="22"/>
              </w:rPr>
            </w:pPr>
            <w:r>
              <w:rPr>
                <w:sz w:val="22"/>
              </w:rPr>
              <w:t>At execution of this Master Agreement</w:t>
            </w:r>
          </w:p>
        </w:tc>
        <w:tc>
          <w:tcPr>
            <w:tcW w:w="1926"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sz w:val="22"/>
              </w:rPr>
            </w:pPr>
            <w:r>
              <w:rPr>
                <w:sz w:val="22"/>
              </w:rPr>
              <w:t>Party A and Party B</w:t>
            </w:r>
          </w:p>
        </w:tc>
        <w:tc>
          <w:tcPr>
            <w:tcW w:w="4104"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340" w:type="dxa"/>
            <w:tcBorders/>
          </w:tcPr>
          <w:p>
            <w:pPr>
              <w:pStyle w:val="Normal"/>
              <w:spacing w:lineRule="atLeast" w:line="240" w:before="240" w:after="0"/>
              <w:jc w:val="both"/>
              <w:rPr>
                <w:b/>
                <w:sz w:val="22"/>
              </w:rPr>
            </w:pPr>
            <w:r>
              <w:rPr>
                <w:sz w:val="22"/>
              </w:rPr>
              <w:t>At execution of this Master Agreement</w:t>
            </w:r>
          </w:p>
        </w:tc>
        <w:tc>
          <w:tcPr>
            <w:tcW w:w="1926"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sz w:val="22"/>
              </w:rPr>
            </w:pPr>
            <w:r>
              <w:rPr>
                <w:sz w:val="22"/>
              </w:rPr>
              <w:t>Party A and Party B</w:t>
            </w:r>
          </w:p>
        </w:tc>
        <w:tc>
          <w:tcPr>
            <w:tcW w:w="4104"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A Certificate certifying (a) resolutions of each party’s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each party’s and its Credit Support Provider’s (if any) articles of incorporation and bylaws (or other constituent documents)</w:t>
            </w:r>
          </w:p>
        </w:tc>
        <w:tc>
          <w:tcPr>
            <w:tcW w:w="2340"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At execution of this Master Agreement</w:t>
            </w:r>
          </w:p>
        </w:tc>
        <w:tc>
          <w:tcPr>
            <w:tcW w:w="1926"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sz w:val="22"/>
              </w:rPr>
            </w:pPr>
            <w:r>
              <w:rPr>
                <w:sz w:val="22"/>
              </w:rPr>
              <w:t>Party A</w:t>
            </w:r>
          </w:p>
        </w:tc>
        <w:tc>
          <w:tcPr>
            <w:tcW w:w="4104" w:type="dxa"/>
            <w:tcBorders/>
          </w:tcPr>
          <w:p>
            <w:pPr>
              <w:pStyle w:val="Normal"/>
              <w:spacing w:lineRule="atLeast" w:line="240" w:before="240" w:after="0"/>
              <w:jc w:val="both"/>
              <w:rPr>
                <w:b/>
                <w:sz w:val="22"/>
              </w:rPr>
            </w:pPr>
            <w:r>
              <w:rPr>
                <w:sz w:val="22"/>
              </w:rPr>
              <w:t>Annual Audited Consolidated Financial Statement of Party A’s Credit Support Provider certified by independent public accountants</w:t>
            </w:r>
          </w:p>
        </w:tc>
        <w:tc>
          <w:tcPr>
            <w:tcW w:w="2340"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Promptly following demand by Party B, but in no event earlier than 120 days after the end of each of its fiscal years</w:t>
            </w:r>
          </w:p>
        </w:tc>
        <w:tc>
          <w:tcPr>
            <w:tcW w:w="1926"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sz w:val="22"/>
              </w:rPr>
            </w:pPr>
            <w:r>
              <w:rPr>
                <w:sz w:val="22"/>
              </w:rPr>
              <w:t>Party A</w:t>
            </w:r>
          </w:p>
        </w:tc>
        <w:tc>
          <w:tcPr>
            <w:tcW w:w="4104" w:type="dxa"/>
            <w:tcBorders/>
          </w:tcPr>
          <w:p>
            <w:pPr>
              <w:pStyle w:val="Normal"/>
              <w:spacing w:lineRule="atLeast" w:line="240" w:before="240" w:after="0"/>
              <w:jc w:val="both"/>
              <w:rPr>
                <w:b/>
                <w:sz w:val="22"/>
              </w:rPr>
            </w:pPr>
            <w:r>
              <w:rPr>
                <w:sz w:val="22"/>
              </w:rPr>
              <w:t>Quarterly Unaudited Consolidated Financial Statement of Party A’s Credit Support Provider</w:t>
            </w:r>
          </w:p>
        </w:tc>
        <w:tc>
          <w:tcPr>
            <w:tcW w:w="2340"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Promptly following demand by Party B, but in no event earlier than 60 days after the end of each of its first three fiscal quarters of each of its fiscal years</w:t>
            </w:r>
          </w:p>
        </w:tc>
        <w:tc>
          <w:tcPr>
            <w:tcW w:w="1926"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sz w:val="22"/>
              </w:rPr>
            </w:pPr>
            <w:r>
              <w:rPr>
                <w:sz w:val="22"/>
              </w:rPr>
              <w:t>Party B</w:t>
            </w:r>
          </w:p>
        </w:tc>
        <w:tc>
          <w:tcPr>
            <w:tcW w:w="4104" w:type="dxa"/>
            <w:tcBorders/>
          </w:tcPr>
          <w:p>
            <w:pPr>
              <w:pStyle w:val="Normal"/>
              <w:spacing w:lineRule="atLeast" w:line="240" w:before="240" w:after="0"/>
              <w:jc w:val="both"/>
              <w:rPr>
                <w:sz w:val="22"/>
              </w:rPr>
            </w:pPr>
            <w:r>
              <w:rPr>
                <w:sz w:val="22"/>
              </w:rPr>
              <w:t>Annual Audited Consolidated Financial Statement of Party B certified by independent public accountants</w:t>
            </w:r>
          </w:p>
        </w:tc>
        <w:tc>
          <w:tcPr>
            <w:tcW w:w="2340"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Promptly following demand by Party A, but in no event earlier than 120 days after the end of each of its fiscal years</w:t>
            </w:r>
          </w:p>
        </w:tc>
        <w:tc>
          <w:tcPr>
            <w:tcW w:w="192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Yes</w:t>
            </w:r>
          </w:p>
        </w:tc>
      </w:tr>
    </w:tbl>
    <w:p>
      <w:pPr>
        <w:pStyle w:val="Normal"/>
        <w:spacing w:lineRule="exact" w:line="240" w:before="480" w:after="0"/>
        <w:jc w:val="both"/>
        <w:rPr>
          <w:b/>
          <w:sz w:val="22"/>
        </w:rPr>
      </w:pPr>
      <w:r>
        <w:rPr>
          <w:b/>
          <w:sz w:val="22"/>
        </w:rPr>
        <w:t>Part 4.  Miscellaneous.</w:t>
      </w:r>
    </w:p>
    <w:p>
      <w:pPr>
        <w:pStyle w:val="Normal"/>
        <w:spacing w:lineRule="exact" w:line="240" w:before="240" w:after="0"/>
        <w:ind w:firstLine="720" w:end="0"/>
        <w:jc w:val="both"/>
        <w:rPr/>
      </w:pPr>
      <w:r>
        <w:rPr>
          <w:sz w:val="22"/>
        </w:rPr>
        <w:t>(a)</w:t>
        <w:tab/>
      </w:r>
      <w:r>
        <w:rPr>
          <w:b/>
          <w:sz w:val="22"/>
        </w:rPr>
        <w:t>Addresses for Notices.</w:t>
      </w:r>
      <w:r>
        <w:rPr>
          <w:sz w:val="22"/>
        </w:rPr>
        <w:t xml:space="preserve">  Section 12(a) is hereby amended by (i) deleting the opening paragraph and replacing it with:  “Any notice or other communication in respect of this Agreement may be given in any manner set forth below (except that a notice or other communication may not be given by electronic messaging system) to the address or number provided (see the Schedule) and will be deemed effective as indicated: -”, (ii) deleting subpart (v) in its entirety and (iii) adding the following sentence at the end thereof:  “All notices or communications sent by facsimile transmission (pursuant to Sections 5 or 6) must be confirmed in writing”.  For the purpose of Section 12(a) of this Agreement:</w:t>
      </w:r>
    </w:p>
    <w:p>
      <w:pPr>
        <w:pStyle w:val="Normal"/>
        <w:spacing w:lineRule="exact" w:line="240" w:before="240" w:after="0"/>
        <w:ind w:hanging="720" w:start="720" w:end="0"/>
        <w:jc w:val="both"/>
        <w:rPr>
          <w:sz w:val="22"/>
        </w:rPr>
      </w:pPr>
      <w:r>
        <w:rPr>
          <w:sz w:val="22"/>
        </w:rPr>
        <w:t>Address for notices or communications to Party A:</w:t>
      </w:r>
    </w:p>
    <w:p>
      <w:pPr>
        <w:pStyle w:val="Normal"/>
        <w:spacing w:lineRule="exact" w:line="240"/>
        <w:ind w:hanging="720" w:start="720" w:end="0"/>
        <w:jc w:val="both"/>
        <w:rPr>
          <w:sz w:val="22"/>
        </w:rPr>
      </w:pPr>
      <w:r>
        <w:rPr>
          <w:sz w:val="22"/>
        </w:rPr>
      </w:r>
    </w:p>
    <w:tbl>
      <w:tblPr>
        <w:tblW w:w="9889" w:type="dxa"/>
        <w:jc w:val="start"/>
        <w:tblInd w:w="0" w:type="dxa"/>
        <w:tblLayout w:type="fixed"/>
        <w:tblCellMar>
          <w:top w:w="0" w:type="dxa"/>
          <w:start w:w="108" w:type="dxa"/>
          <w:bottom w:w="0" w:type="dxa"/>
          <w:end w:w="108" w:type="dxa"/>
        </w:tblCellMar>
      </w:tblPr>
      <w:tblGrid>
        <w:gridCol w:w="2088"/>
        <w:gridCol w:w="4257"/>
        <w:gridCol w:w="3544"/>
      </w:tblGrid>
      <w:tr>
        <w:trPr/>
        <w:tc>
          <w:tcPr>
            <w:tcW w:w="2088" w:type="dxa"/>
            <w:tcBorders/>
          </w:tcPr>
          <w:p>
            <w:pPr>
              <w:pStyle w:val="Normal"/>
              <w:keepNext w:val="true"/>
              <w:tabs>
                <w:tab w:val="clear" w:pos="720"/>
                <w:tab w:val="left" w:pos="2880" w:leader="none"/>
                <w:tab w:val="left" w:pos="4320" w:leader="none"/>
                <w:tab w:val="left" w:pos="9360" w:leader="none"/>
              </w:tabs>
              <w:spacing w:lineRule="exact" w:line="240"/>
              <w:jc w:val="both"/>
              <w:rPr>
                <w:sz w:val="22"/>
              </w:rPr>
            </w:pPr>
            <w:r>
              <w:rPr>
                <w:sz w:val="22"/>
              </w:rPr>
              <w:t xml:space="preserve">Address: </w:t>
            </w:r>
          </w:p>
          <w:p>
            <w:pPr>
              <w:pStyle w:val="Normal"/>
              <w:keepNext w:val="true"/>
              <w:tabs>
                <w:tab w:val="clear" w:pos="720"/>
                <w:tab w:val="left" w:pos="2880" w:leader="none"/>
                <w:tab w:val="left" w:pos="4320" w:leader="none"/>
                <w:tab w:val="left" w:pos="9360" w:leader="none"/>
              </w:tabs>
              <w:spacing w:lineRule="exact" w:line="240"/>
              <w:jc w:val="both"/>
              <w:rPr>
                <w:sz w:val="22"/>
              </w:rPr>
            </w:pPr>
            <w:r>
              <w:rPr>
                <w:sz w:val="22"/>
              </w:rPr>
            </w:r>
          </w:p>
          <w:p>
            <w:pPr>
              <w:pStyle w:val="Normal"/>
              <w:keepNext w:val="true"/>
              <w:tabs>
                <w:tab w:val="clear" w:pos="720"/>
                <w:tab w:val="left" w:pos="2880" w:leader="none"/>
                <w:tab w:val="left" w:pos="9360" w:leader="none"/>
              </w:tabs>
              <w:spacing w:lineRule="exact" w:line="240"/>
              <w:jc w:val="both"/>
              <w:rPr>
                <w:sz w:val="22"/>
              </w:rPr>
            </w:pPr>
            <w:r>
              <w:rPr>
                <w:sz w:val="22"/>
              </w:rPr>
            </w:r>
          </w:p>
          <w:p>
            <w:pPr>
              <w:pStyle w:val="Normal"/>
              <w:keepNext w:val="true"/>
              <w:tabs>
                <w:tab w:val="clear" w:pos="720"/>
                <w:tab w:val="left" w:pos="2880" w:leader="none"/>
                <w:tab w:val="left" w:pos="9360" w:leader="none"/>
              </w:tabs>
              <w:spacing w:lineRule="exact" w:line="240"/>
              <w:jc w:val="both"/>
              <w:rPr>
                <w:sz w:val="22"/>
              </w:rPr>
            </w:pPr>
            <w:r>
              <w:rPr>
                <w:sz w:val="22"/>
              </w:rPr>
              <w:t>Street Address:</w:t>
            </w:r>
          </w:p>
          <w:p>
            <w:pPr>
              <w:pStyle w:val="Normal"/>
              <w:keepNext w:val="true"/>
              <w:tabs>
                <w:tab w:val="clear" w:pos="720"/>
                <w:tab w:val="left" w:pos="2880" w:leader="none"/>
                <w:tab w:val="left" w:pos="4320" w:leader="none"/>
                <w:tab w:val="left" w:pos="9360" w:leader="none"/>
              </w:tabs>
              <w:spacing w:lineRule="exact" w:line="240"/>
              <w:jc w:val="both"/>
              <w:rPr>
                <w:sz w:val="22"/>
              </w:rPr>
            </w:pPr>
            <w:r>
              <w:rPr>
                <w:sz w:val="22"/>
              </w:rPr>
              <w:t>(for courier delivery)</w:t>
            </w:r>
          </w:p>
          <w:p>
            <w:pPr>
              <w:pStyle w:val="Normal"/>
              <w:tabs>
                <w:tab w:val="left" w:pos="720" w:leader="none"/>
                <w:tab w:val="right" w:pos="9360" w:leader="dot"/>
              </w:tabs>
              <w:spacing w:lineRule="exact" w:line="240"/>
              <w:jc w:val="both"/>
              <w:rPr>
                <w:sz w:val="22"/>
              </w:rPr>
            </w:pPr>
            <w:r>
              <w:rPr>
                <w:sz w:val="22"/>
              </w:rPr>
            </w:r>
          </w:p>
        </w:tc>
        <w:tc>
          <w:tcPr>
            <w:tcW w:w="4257" w:type="dxa"/>
            <w:tcBorders/>
          </w:tcPr>
          <w:p>
            <w:pPr>
              <w:pStyle w:val="BodyText"/>
              <w:widowControl/>
              <w:tabs>
                <w:tab w:val="clear" w:pos="720"/>
                <w:tab w:val="left" w:pos="4230" w:leader="none"/>
                <w:tab w:val="left" w:pos="9360" w:leader="none"/>
              </w:tabs>
              <w:spacing w:lineRule="exact" w:line="240"/>
              <w:rPr/>
            </w:pPr>
            <w:r>
              <w:rPr/>
              <w:t>Enron Capital &amp; Trade Resources International Corp.</w:t>
            </w:r>
          </w:p>
          <w:p>
            <w:pPr>
              <w:pStyle w:val="Justified"/>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c/o Enron Europe Finance &amp; Trading Limited</w:t>
            </w:r>
          </w:p>
          <w:p>
            <w:pPr>
              <w:pStyle w:val="Normal"/>
              <w:tabs>
                <w:tab w:val="clear" w:pos="720"/>
                <w:tab w:val="left" w:pos="4230" w:leader="none"/>
                <w:tab w:val="left" w:pos="9360" w:leader="none"/>
              </w:tabs>
              <w:spacing w:lineRule="exact" w:line="240"/>
              <w:jc w:val="both"/>
              <w:rPr>
                <w:sz w:val="22"/>
              </w:rPr>
            </w:pPr>
            <w:r>
              <w:rPr>
                <w:sz w:val="22"/>
              </w:rPr>
              <w:t>Enron House</w:t>
            </w:r>
          </w:p>
          <w:p>
            <w:pPr>
              <w:pStyle w:val="Normal"/>
              <w:tabs>
                <w:tab w:val="clear" w:pos="720"/>
                <w:tab w:val="left" w:pos="4230" w:leader="none"/>
                <w:tab w:val="left" w:pos="9360" w:leader="none"/>
              </w:tabs>
              <w:spacing w:lineRule="exact" w:line="240"/>
              <w:jc w:val="both"/>
              <w:rPr>
                <w:sz w:val="22"/>
              </w:rPr>
            </w:pPr>
            <w:r>
              <w:rPr>
                <w:sz w:val="22"/>
              </w:rPr>
              <w:t>40 Grosvenor Place</w:t>
            </w:r>
          </w:p>
          <w:p>
            <w:pPr>
              <w:pStyle w:val="Normal"/>
              <w:tabs>
                <w:tab w:val="clear" w:pos="720"/>
                <w:tab w:val="left" w:pos="4230" w:leader="none"/>
                <w:tab w:val="left" w:pos="9360" w:leader="none"/>
              </w:tabs>
              <w:spacing w:lineRule="exact" w:line="240"/>
              <w:jc w:val="both"/>
              <w:rPr>
                <w:sz w:val="22"/>
              </w:rPr>
            </w:pPr>
            <w:r>
              <w:rPr>
                <w:sz w:val="22"/>
              </w:rPr>
              <w:t>London  SW1X 7EN</w:t>
            </w:r>
          </w:p>
          <w:p>
            <w:pPr>
              <w:pStyle w:val="Justified"/>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544" w:type="dxa"/>
            <w:tcBorders/>
          </w:tcPr>
          <w:p>
            <w:pPr>
              <w:pStyle w:val="Normal"/>
              <w:tabs>
                <w:tab w:val="clear" w:pos="720"/>
                <w:tab w:val="left" w:pos="4230" w:leader="none"/>
                <w:tab w:val="left" w:pos="9360" w:leader="none"/>
              </w:tabs>
              <w:spacing w:lineRule="exact" w:line="240"/>
              <w:ind w:start="72" w:end="0"/>
              <w:jc w:val="both"/>
              <w:rPr>
                <w:sz w:val="22"/>
                <w:u w:val="single"/>
              </w:rPr>
            </w:pPr>
            <w:r>
              <w:rPr>
                <w:sz w:val="22"/>
              </w:rPr>
              <w:t>Facsimile No.: 44 207 783 8917</w:t>
            </w:r>
          </w:p>
          <w:p>
            <w:pPr>
              <w:pStyle w:val="Normal"/>
              <w:tabs>
                <w:tab w:val="clear" w:pos="720"/>
                <w:tab w:val="left" w:pos="4230" w:leader="none"/>
                <w:tab w:val="left" w:pos="9360" w:leader="none"/>
              </w:tabs>
              <w:spacing w:lineRule="exact" w:line="240"/>
              <w:ind w:start="72" w:end="0"/>
              <w:jc w:val="both"/>
              <w:rPr>
                <w:sz w:val="22"/>
              </w:rPr>
            </w:pPr>
            <w:r>
              <w:rPr>
                <w:sz w:val="22"/>
              </w:rPr>
              <w:t>Telephone No.:  44 207 783 0000</w:t>
            </w:r>
          </w:p>
        </w:tc>
      </w:tr>
    </w:tbl>
    <w:p>
      <w:pPr>
        <w:pStyle w:val="Normal"/>
        <w:tabs>
          <w:tab w:val="clear" w:pos="720"/>
          <w:tab w:val="right" w:pos="9360" w:leader="dot"/>
        </w:tabs>
        <w:spacing w:lineRule="exact" w:line="240" w:before="240" w:after="0"/>
        <w:jc w:val="both"/>
        <w:rPr>
          <w:sz w:val="22"/>
        </w:rPr>
      </w:pPr>
      <w:r>
        <w:rPr>
          <w:sz w:val="22"/>
        </w:rPr>
        <w:t>A copy of any notice sent to Party A pursuant to Section 5 or 6 must also be sent to (i) Enron North America Corp., Attention:  Corporate Secretary at P.O. Box 4428, Houston, Texas  77210-4428 (Street address: 1400 Smith Street, Houston, Texas  77002)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rPr>
      </w:pPr>
      <w:r>
        <w:rPr>
          <w:sz w:val="22"/>
        </w:rPr>
      </w:r>
      <w:r>
        <w:br w:type="page"/>
      </w:r>
    </w:p>
    <w:p>
      <w:pPr>
        <w:pStyle w:val="Justified"/>
        <w:widowControl/>
        <w:tabs>
          <w:tab w:val="left" w:pos="720" w:leader="none"/>
          <w:tab w:val="right" w:pos="9360" w:leader="dot"/>
        </w:tabs>
        <w:spacing w:lineRule="exact" w:line="240" w:before="0" w:after="0"/>
        <w:rPr>
          <w:rFonts w:ascii="Times New Roman" w:hAnsi="Times New Roman" w:cs="Times New Roman"/>
        </w:rPr>
      </w:pPr>
      <w:r>
        <w:rPr>
          <w:rFonts w:cs="Times New Roman" w:ascii="Times New Roman" w:hAnsi="Times New Roman"/>
        </w:rPr>
        <w:t>Address for notices or communications to Party B (which are not for the purposes of Sections 5 and 6 of this Agreement):</w:t>
      </w:r>
    </w:p>
    <w:p>
      <w:pPr>
        <w:pStyle w:val="Normal"/>
        <w:tabs>
          <w:tab w:val="left" w:pos="720" w:leader="none"/>
          <w:tab w:val="right" w:pos="9360" w:leader="dot"/>
        </w:tabs>
        <w:spacing w:lineRule="exact" w:line="240"/>
        <w:ind w:hanging="720" w:start="720" w:end="0"/>
        <w:jc w:val="both"/>
        <w:rPr>
          <w:rFonts w:ascii="Times New Roman" w:hAnsi="Times New Roman" w:cs="Times New Roman"/>
          <w:sz w:val="22"/>
        </w:rPr>
      </w:pPr>
      <w:r>
        <w:rPr>
          <w:rFonts w:cs="Times New Roman"/>
          <w:sz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keepNext w:val="true"/>
              <w:tabs>
                <w:tab w:val="clear" w:pos="720"/>
                <w:tab w:val="left" w:pos="2880" w:leader="none"/>
                <w:tab w:val="left" w:pos="9360" w:leader="none"/>
              </w:tabs>
              <w:spacing w:lineRule="atLeast" w:line="240"/>
              <w:jc w:val="both"/>
              <w:rPr>
                <w:sz w:val="22"/>
              </w:rPr>
            </w:pPr>
            <w:r>
              <w:rPr>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(for courier delivery)</w:t>
            </w:r>
            <w:r>
              <w:rPr>
                <w:sz w:val="22"/>
                <w:u w:val="single"/>
              </w:rPr>
              <w:t xml:space="preserve"> </w:t>
            </w:r>
          </w:p>
          <w:p>
            <w:pPr>
              <w:pStyle w:val="Normal"/>
              <w:keepNext w:val="true"/>
              <w:tabs>
                <w:tab w:val="left" w:pos="720" w:leader="none"/>
                <w:tab w:val="right" w:pos="9360" w:leader="dot"/>
              </w:tabs>
              <w:spacing w:lineRule="exact" w:line="240"/>
              <w:jc w:val="both"/>
              <w:rPr>
                <w:sz w:val="22"/>
              </w:rPr>
            </w:pPr>
            <w:r>
              <w:rPr>
                <w:sz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SITA</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132 rue des Trois Fontanot</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92758 Nanterre</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Cedex France</w:t>
            </w:r>
          </w:p>
          <w:p>
            <w:pPr>
              <w:pStyle w:val="Normal"/>
              <w:keepNext w:val="true"/>
              <w:tabs>
                <w:tab w:val="clear" w:pos="720"/>
                <w:tab w:val="left" w:pos="3762" w:leader="none"/>
                <w:tab w:val="left" w:pos="4230" w:leader="none"/>
                <w:tab w:val="left" w:pos="9360" w:leader="none"/>
              </w:tabs>
              <w:spacing w:lineRule="exact" w:line="240"/>
              <w:rPr>
                <w:sz w:val="22"/>
              </w:rPr>
            </w:pPr>
            <w:r>
              <w:rPr>
                <w:sz w:val="22"/>
              </w:rPr>
              <w:t>Attn.: Philippe Dessain</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rPr>
            </w:pPr>
            <w:r>
              <w:rPr>
                <w:sz w:val="22"/>
              </w:rPr>
              <w:t>Facsimile No.:</w:t>
            </w:r>
          </w:p>
          <w:p>
            <w:pPr>
              <w:pStyle w:val="Normal"/>
              <w:keepNext w:val="true"/>
              <w:tabs>
                <w:tab w:val="clear" w:pos="720"/>
                <w:tab w:val="left" w:pos="2952" w:leader="none"/>
                <w:tab w:val="left" w:pos="4230" w:leader="none"/>
                <w:tab w:val="left" w:pos="9360" w:leader="none"/>
              </w:tabs>
              <w:spacing w:lineRule="exact" w:line="240"/>
              <w:ind w:start="72" w:end="0"/>
              <w:jc w:val="both"/>
              <w:rPr>
                <w:sz w:val="22"/>
              </w:rPr>
            </w:pPr>
            <w:r>
              <w:rPr>
                <w:sz w:val="22"/>
              </w:rPr>
              <w:t xml:space="preserve">              </w:t>
            </w:r>
            <w:r>
              <w:rPr>
                <w:sz w:val="22"/>
              </w:rPr>
              <w:t>00 33 1 42 91 68 81</w:t>
            </w:r>
          </w:p>
          <w:p>
            <w:pPr>
              <w:pStyle w:val="Normal"/>
              <w:keepNext w:val="true"/>
              <w:tabs>
                <w:tab w:val="clear" w:pos="720"/>
                <w:tab w:val="left" w:pos="2952" w:leader="none"/>
                <w:tab w:val="left" w:pos="4230" w:leader="none"/>
                <w:tab w:val="left" w:pos="9360" w:leader="none"/>
              </w:tabs>
              <w:spacing w:lineRule="exact" w:line="240"/>
              <w:ind w:start="72" w:end="0"/>
              <w:jc w:val="both"/>
              <w:rPr>
                <w:sz w:val="22"/>
              </w:rPr>
            </w:pPr>
            <w:r>
              <w:rPr>
                <w:sz w:val="22"/>
              </w:rPr>
              <w:t xml:space="preserve">Telephone No.:  </w:t>
            </w:r>
          </w:p>
          <w:p>
            <w:pPr>
              <w:pStyle w:val="Normal"/>
              <w:keepNext w:val="true"/>
              <w:tabs>
                <w:tab w:val="clear" w:pos="720"/>
                <w:tab w:val="left" w:pos="2952" w:leader="none"/>
                <w:tab w:val="left" w:pos="4230" w:leader="none"/>
                <w:tab w:val="left" w:pos="9360" w:leader="none"/>
              </w:tabs>
              <w:spacing w:lineRule="exact" w:line="240"/>
              <w:ind w:start="72" w:end="0"/>
              <w:jc w:val="both"/>
              <w:rPr>
                <w:sz w:val="22"/>
              </w:rPr>
            </w:pPr>
            <w:r>
              <w:rPr>
                <w:sz w:val="22"/>
              </w:rPr>
              <w:t xml:space="preserve">             </w:t>
            </w:r>
            <w:r>
              <w:rPr>
                <w:sz w:val="22"/>
              </w:rPr>
              <w:t>00 33 1 42 91 67 37</w:t>
            </w:r>
          </w:p>
        </w:tc>
      </w:tr>
    </w:tbl>
    <w:p>
      <w:pPr>
        <w:pStyle w:val="Normal"/>
        <w:tabs>
          <w:tab w:val="left" w:pos="720" w:leader="none"/>
          <w:tab w:val="left" w:pos="1440" w:leader="none"/>
          <w:tab w:val="left" w:pos="5472" w:leader="dot"/>
          <w:tab w:val="right" w:pos="9360" w:leader="dot"/>
        </w:tabs>
        <w:spacing w:lineRule="exact" w:line="240" w:before="240" w:after="0"/>
        <w:jc w:val="both"/>
        <w:rPr>
          <w:sz w:val="22"/>
        </w:rPr>
      </w:pPr>
      <w:r>
        <w:rPr>
          <w:sz w:val="22"/>
        </w:rPr>
        <w:t>A copy of any notice sent to Party B pursuant to Section 5 or 6 must only be sent to SITA, 132 rue des Trois Fontanot, 92758 Nanterre, Cedex France, Attn.:  Mrs. Steinmetz, facsimile no. 00 33 1 42 91 68 62, telephone no. 00 33 1 42 91 63 86.</w:t>
      </w:r>
    </w:p>
    <w:p>
      <w:pPr>
        <w:pStyle w:val="Normal"/>
        <w:tabs>
          <w:tab w:val="left" w:pos="720" w:leader="none"/>
          <w:tab w:val="left" w:pos="1440" w:leader="none"/>
          <w:tab w:val="left" w:pos="5472" w:leader="dot"/>
          <w:tab w:val="right" w:pos="9360" w:leader="dot"/>
        </w:tabs>
        <w:spacing w:lineRule="exact" w:line="240" w:before="240" w:after="0"/>
        <w:jc w:val="both"/>
        <w:rPr>
          <w:sz w:val="22"/>
        </w:rPr>
      </w:pPr>
      <w:r>
        <w:rPr>
          <w:sz w:val="22"/>
        </w:rPr>
        <w:t>All notices or communications sent by facsimile must be confirmed in writing.</w:t>
      </w:r>
    </w:p>
    <w:p>
      <w:pPr>
        <w:pStyle w:val="Normal"/>
        <w:tabs>
          <w:tab w:val="left" w:pos="720" w:leader="none"/>
          <w:tab w:val="left" w:pos="1440" w:leader="none"/>
          <w:tab w:val="left" w:pos="5472" w:leader="dot"/>
          <w:tab w:val="right" w:pos="9360" w:leader="dot"/>
        </w:tabs>
        <w:spacing w:lineRule="exact" w:line="240" w:before="240" w:after="0"/>
        <w:ind w:firstLine="720" w:end="0"/>
        <w:jc w:val="both"/>
        <w:rPr/>
      </w:pPr>
      <w:r>
        <w:rPr>
          <w:sz w:val="22"/>
        </w:rPr>
        <w:t>(b)</w:t>
        <w:tab/>
      </w:r>
      <w:r>
        <w:rPr>
          <w:b/>
          <w:sz w:val="22"/>
        </w:rPr>
        <w:t>Offices; Multibranch Parties.</w:t>
      </w:r>
      <w:r>
        <w:rPr>
          <w:sz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sz w:val="22"/>
        </w:rPr>
        <w:t>(c)</w:t>
        <w:tab/>
      </w:r>
      <w:r>
        <w:rPr>
          <w:b/>
          <w:sz w:val="22"/>
        </w:rPr>
        <w:t>Calculation Agent.</w:t>
      </w:r>
      <w:r>
        <w:rPr>
          <w:sz w:val="22"/>
        </w:rPr>
        <w:t xml:space="preserve">  The Calculation Agent is Party A.</w:t>
      </w:r>
    </w:p>
    <w:p>
      <w:pPr>
        <w:pStyle w:val="Normal"/>
        <w:spacing w:lineRule="exact" w:line="240" w:before="240" w:after="0"/>
        <w:ind w:firstLine="720" w:end="0"/>
        <w:jc w:val="both"/>
        <w:rPr/>
      </w:pPr>
      <w:r>
        <w:rPr>
          <w:sz w:val="22"/>
        </w:rPr>
        <w:t>(d)</w:t>
        <w:tab/>
      </w:r>
      <w:r>
        <w:rPr>
          <w:b/>
          <w:sz w:val="22"/>
        </w:rPr>
        <w:t>Credit Support Documents.</w:t>
      </w:r>
      <w:r>
        <w:rPr>
          <w:sz w:val="22"/>
        </w:rPr>
        <w:t xml:space="preserve">  Details of any Credit Support Document, each of which is incorporated by reference in, and made part of, this Agreement and each Confirmation (unless provided otherwise in a Confirmation) as if set forth in full in this Agreement or such Confirmation:  Guaranty dated as of the date hereof by Enron Corp. in favor of Party B as beneficiary thereof in the form attached hereto as </w:t>
      </w:r>
      <w:r>
        <w:rPr>
          <w:sz w:val="22"/>
          <w:u w:val="single"/>
        </w:rPr>
        <w:t>Exhibit A</w:t>
      </w:r>
      <w:r>
        <w:rPr>
          <w:sz w:val="22"/>
        </w:rPr>
        <w:t>.</w:t>
      </w:r>
    </w:p>
    <w:p>
      <w:pPr>
        <w:pStyle w:val="Normal"/>
        <w:spacing w:lineRule="exact" w:line="240" w:before="240" w:after="0"/>
        <w:ind w:firstLine="720" w:end="0"/>
        <w:jc w:val="both"/>
        <w:rPr/>
      </w:pPr>
      <w:r>
        <w:rPr>
          <w:sz w:val="22"/>
        </w:rPr>
        <w:t>(e)</w:t>
        <w:tab/>
      </w:r>
      <w:r>
        <w:rPr>
          <w:b/>
          <w:sz w:val="22"/>
        </w:rPr>
        <w:t>Credit Support Provider.</w:t>
      </w:r>
      <w:r>
        <w:rPr>
          <w:sz w:val="22"/>
        </w:rPr>
        <w:t xml:space="preserve">  (i) Credit Support Provider means in relation to Party A, Enron Corp. and (ii) Credit Support Provider means in relation to Party B, none.</w:t>
      </w:r>
    </w:p>
    <w:p>
      <w:pPr>
        <w:pStyle w:val="Normal"/>
        <w:spacing w:lineRule="exact" w:line="240" w:before="240" w:after="0"/>
        <w:ind w:firstLine="720" w:end="0"/>
        <w:jc w:val="both"/>
        <w:rPr/>
      </w:pPr>
      <w:r>
        <w:rPr>
          <w:sz w:val="22"/>
        </w:rPr>
        <w:t>(f)</w:t>
        <w:tab/>
      </w:r>
      <w:r>
        <w:rPr>
          <w:b/>
          <w:sz w:val="22"/>
        </w:rPr>
        <w:t>Netting of Payments.</w:t>
      </w:r>
      <w:r>
        <w:rPr>
          <w:sz w:val="22"/>
        </w:rPr>
        <w:t xml:space="preserve">  Section 2(c)(ii) will not apply to all Transactions.</w:t>
      </w:r>
    </w:p>
    <w:p>
      <w:pPr>
        <w:pStyle w:val="Normal"/>
        <w:spacing w:lineRule="exact" w:line="240" w:before="240" w:after="0"/>
        <w:ind w:firstLine="720" w:end="0"/>
        <w:jc w:val="both"/>
        <w:rPr/>
      </w:pPr>
      <w:r>
        <w:rPr>
          <w:sz w:val="22"/>
        </w:rPr>
        <w:t>(g)</w:t>
        <w:tab/>
      </w:r>
      <w:r>
        <w:rPr>
          <w:b/>
          <w:sz w:val="22"/>
        </w:rPr>
        <w:t>Governing Law.  This Agreement and each Confirmation will be governed by, and construed, interpreted, and enforced in accordance with, the laws of England and Wales.</w:t>
      </w:r>
    </w:p>
    <w:p>
      <w:pPr>
        <w:pStyle w:val="Normal"/>
        <w:spacing w:lineRule="exact" w:line="240" w:before="240" w:after="0"/>
        <w:ind w:firstLine="720" w:end="0"/>
        <w:jc w:val="both"/>
        <w:rPr/>
      </w:pPr>
      <w:r>
        <w:rPr>
          <w:sz w:val="22"/>
        </w:rPr>
        <w:t>(h)</w:t>
        <w:tab/>
      </w:r>
      <w:r>
        <w:rPr>
          <w:b/>
          <w:sz w:val="22"/>
        </w:rPr>
        <w:t>Jurisdiction.</w:t>
      </w:r>
      <w:r>
        <w:rPr>
          <w:sz w:val="22"/>
        </w:rPr>
        <w:t xml:space="preserve">  Section 13(b) is hereby deleted in its entirety and replaced with the following:</w:t>
      </w:r>
    </w:p>
    <w:p>
      <w:pPr>
        <w:pStyle w:val="Normal"/>
        <w:tabs>
          <w:tab w:val="left" w:pos="720" w:leader="none"/>
        </w:tabs>
        <w:spacing w:lineRule="exact" w:line="240" w:before="240" w:after="0"/>
        <w:ind w:firstLine="720" w:start="720" w:end="0"/>
        <w:jc w:val="both"/>
        <w:rPr/>
      </w:pPr>
      <w:r>
        <w:rPr>
          <w:sz w:val="22"/>
        </w:rPr>
        <w:t>(b)</w:t>
        <w:tab/>
      </w:r>
      <w:r>
        <w:rPr>
          <w:b/>
          <w:sz w:val="22"/>
        </w:rPr>
        <w:t xml:space="preserve">Jurisdiction. </w:t>
      </w:r>
      <w:r>
        <w:rPr>
          <w:sz w:val="22"/>
        </w:rPr>
        <w:t xml:space="preserve"> Each of the parties irrevocably submits to the jurisdiction of English courts over any suit, action or proceeding arising out of or relating to this Agreement (“Proceedings”).  Each of the parties hereto irrevocably waives any objection which it may have at any time to the laying of venue of any Proceedings brought in any such court, waives any claim that such Proceedings have been brought in an inconvenient forum and further waives the right to object, with respect to such Proceedings, that such court does not have any jurisdiction over such party.</w:t>
      </w:r>
    </w:p>
    <w:p>
      <w:pPr>
        <w:pStyle w:val="Normal"/>
        <w:spacing w:lineRule="exact" w:line="240" w:before="240" w:after="0"/>
        <w:ind w:firstLine="720" w:end="0"/>
        <w:jc w:val="both"/>
        <w:rPr/>
      </w:pPr>
      <w:r>
        <w:rPr>
          <w:sz w:val="22"/>
        </w:rPr>
        <w:t>(i)</w:t>
        <w:tab/>
      </w:r>
      <w:r>
        <w:rPr>
          <w:b/>
          <w:sz w:val="22"/>
        </w:rPr>
        <w:t>Process Agent.</w:t>
      </w:r>
      <w:r>
        <w:rPr>
          <w:sz w:val="22"/>
        </w:rPr>
        <w:t xml:space="preserve"> For the purpose of Section 13(c):  Party A appoints as its Process Agent, Enron Europe Finance &amp; Trading Limited, Enron House, 40 Grosvenor Place, London  SW1X 7EN; Party B appoints as its Process Agent, SITA Holding U.K. Limited, The Pickeridge, Stoke Common Road, Fulmer, Buckinghamshire SL3 6HA U.K.</w:t>
      </w:r>
    </w:p>
    <w:p>
      <w:pPr>
        <w:pStyle w:val="Normal"/>
        <w:spacing w:lineRule="exact" w:line="240" w:before="480" w:after="0"/>
        <w:jc w:val="both"/>
        <w:rPr/>
      </w:pPr>
      <w:r>
        <w:rPr>
          <w:b/>
          <w:sz w:val="22"/>
        </w:rPr>
        <w:tab/>
      </w:r>
      <w:r>
        <w:rPr>
          <w:bCs/>
          <w:sz w:val="22"/>
        </w:rPr>
        <w:t>(j)</w:t>
        <w:tab/>
      </w:r>
      <w:r>
        <w:rPr>
          <w:b/>
          <w:sz w:val="22"/>
        </w:rPr>
        <w:t>“Affiliate”</w:t>
      </w:r>
      <w:r>
        <w:rPr>
          <w:bCs/>
          <w:sz w:val="22"/>
        </w:rPr>
        <w:t xml:space="preserve"> will have the meaning specified in Section 14 of this Agreement.</w:t>
      </w:r>
    </w:p>
    <w:p>
      <w:pPr>
        <w:pStyle w:val="Normal"/>
        <w:spacing w:lineRule="exact" w:line="240" w:before="480" w:after="0"/>
        <w:jc w:val="both"/>
        <w:rPr>
          <w:b/>
          <w:sz w:val="22"/>
        </w:rPr>
      </w:pPr>
      <w:r>
        <w:rPr>
          <w:b/>
          <w:sz w:val="22"/>
        </w:rPr>
        <w:t>Part 5.  Other Provisions.</w:t>
      </w:r>
    </w:p>
    <w:p>
      <w:pPr>
        <w:pStyle w:val="Normal"/>
        <w:spacing w:lineRule="exact" w:line="240" w:before="240" w:after="0"/>
        <w:ind w:firstLine="720" w:end="0"/>
        <w:jc w:val="both"/>
        <w:rPr/>
      </w:pPr>
      <w:r>
        <w:rPr>
          <w:sz w:val="22"/>
        </w:rPr>
        <w:t>(a)</w:t>
        <w:tab/>
      </w:r>
      <w:r>
        <w:rPr>
          <w:b/>
          <w:sz w:val="22"/>
        </w:rPr>
        <w:t>Conditions Precedent.</w:t>
      </w:r>
      <w:r>
        <w:rPr>
          <w:sz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sz w:val="22"/>
        </w:rPr>
        <w:t>(b)</w:t>
        <w:tab/>
      </w:r>
      <w:r>
        <w:rPr>
          <w:b/>
          <w:sz w:val="22"/>
        </w:rPr>
        <w:t>Representations.</w:t>
      </w:r>
      <w:r>
        <w:rPr>
          <w:sz w:val="22"/>
        </w:rPr>
        <w:t xml:space="preserve">  Section 3 is hereby amended by adding at the end thereof the following Subsections (g), (h), (i), and (j):</w:t>
      </w:r>
    </w:p>
    <w:p>
      <w:pPr>
        <w:pStyle w:val="Normal"/>
        <w:spacing w:lineRule="exact" w:line="240" w:before="240" w:after="0"/>
        <w:ind w:firstLine="720" w:start="720" w:end="0"/>
        <w:jc w:val="both"/>
        <w:rPr/>
      </w:pPr>
      <w:r>
        <w:rPr>
          <w:sz w:val="22"/>
        </w:rPr>
        <w:t>(g)</w:t>
        <w:tab/>
      </w:r>
      <w:r>
        <w:rPr>
          <w:b/>
          <w:sz w:val="22"/>
        </w:rPr>
        <w:t>Line of Business.</w:t>
      </w:r>
      <w:r>
        <w:rPr>
          <w:sz w:val="22"/>
        </w:rPr>
        <w:t xml:space="preserve">  (i) It is entering into this Agreement, including without limitation, any Credit Support Document to which it is a party and each Transaction, in conjunction with its line of business (including financial intermediation services) or the financing of its business; and (ii) with respect to Options, it is a producer, processor, commercial user of, or merchant handling, the commodity subject to the Transaction or the products or byproducts thereof, and is entering into each Option Transaction solely for purposes related to its business as such.</w:t>
      </w:r>
    </w:p>
    <w:p>
      <w:pPr>
        <w:pStyle w:val="Normal"/>
        <w:spacing w:lineRule="exact" w:line="240" w:before="240" w:after="0"/>
        <w:ind w:firstLine="720" w:start="720" w:end="0"/>
        <w:jc w:val="both"/>
        <w:rPr/>
      </w:pPr>
      <w:r>
        <w:rPr>
          <w:sz w:val="22"/>
        </w:rPr>
        <w:t>(h)</w:t>
        <w:tab/>
      </w:r>
      <w:r>
        <w:rPr>
          <w:b/>
          <w:sz w:val="22"/>
        </w:rPr>
        <w:t>Eligible Swap Participant.</w:t>
      </w:r>
      <w:r>
        <w:rPr>
          <w:sz w:val="22"/>
        </w:rPr>
        <w:t xml:space="preserve">  It constitutes an “eligible swap participant” as such term is defined in Rule 35.1(b)(2) of the Commodity Futures Trading Commission, 17 C.F.R. § 35.1(b)(2) (1993).</w:t>
      </w:r>
    </w:p>
    <w:p>
      <w:pPr>
        <w:pStyle w:val="Normal"/>
        <w:spacing w:lineRule="exact" w:line="240" w:before="240" w:after="0"/>
        <w:ind w:firstLine="720" w:start="720" w:end="0"/>
        <w:jc w:val="both"/>
        <w:rPr/>
      </w:pPr>
      <w:r>
        <w:rPr>
          <w:sz w:val="22"/>
        </w:rPr>
        <w:t>(i)</w:t>
      </w:r>
      <w:r>
        <w:rPr>
          <w:b/>
          <w:sz w:val="22"/>
        </w:rPr>
        <w:tab/>
        <w:t>Customization and Creditworthiness.</w:t>
      </w:r>
      <w:r>
        <w:rPr>
          <w:sz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spacing w:lineRule="exact" w:line="240" w:before="240" w:after="0"/>
        <w:ind w:firstLine="720" w:start="720" w:end="0"/>
        <w:jc w:val="both"/>
        <w:rPr/>
      </w:pPr>
      <w:r>
        <w:rPr>
          <w:sz w:val="22"/>
        </w:rPr>
        <w:t>(j)</w:t>
        <w:tab/>
      </w:r>
      <w:r>
        <w:rPr>
          <w:b/>
          <w:sz w:val="22"/>
        </w:rPr>
        <w:t>No Reliance.</w:t>
      </w:r>
      <w:r>
        <w:rPr>
          <w:sz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firstLine="720" w:end="0"/>
        <w:jc w:val="both"/>
        <w:rPr/>
      </w:pPr>
      <w:r>
        <w:rPr>
          <w:sz w:val="22"/>
        </w:rPr>
        <w:t>(c)</w:t>
        <w:tab/>
      </w:r>
      <w:r>
        <w:rPr>
          <w:b/>
          <w:sz w:val="22"/>
        </w:rPr>
        <w:t>Reference Market-makers.</w:t>
      </w:r>
      <w:r>
        <w:rPr>
          <w:sz w:val="22"/>
        </w:rPr>
        <w:t xml:space="preserve">  The definition of </w:t>
      </w:r>
      <w:r>
        <w:rPr>
          <w:b/>
          <w:sz w:val="22"/>
        </w:rPr>
        <w:t>“Reference Market-makers”</w:t>
      </w:r>
      <w:r>
        <w:rPr>
          <w:sz w:val="22"/>
        </w:rPr>
        <w:t xml:space="preserve"> in Section 14 is hereby amended by deleting clause (b) thereof.</w:t>
      </w:r>
    </w:p>
    <w:p>
      <w:pPr>
        <w:pStyle w:val="Normal"/>
        <w:spacing w:lineRule="exact" w:line="240" w:before="240" w:after="0"/>
        <w:ind w:firstLine="720" w:end="0"/>
        <w:jc w:val="both"/>
        <w:rPr/>
      </w:pPr>
      <w:r>
        <w:rPr>
          <w:sz w:val="22"/>
        </w:rPr>
        <w:t>(d)</w:t>
        <w:tab/>
      </w:r>
      <w:r>
        <w:rPr>
          <w:b/>
          <w:sz w:val="22"/>
        </w:rPr>
        <w:t>Definitions.</w:t>
      </w:r>
      <w:r>
        <w:rPr>
          <w:sz w:val="22"/>
        </w:rPr>
        <w:t xml:space="preserve">  This Agreement, each Confirmation, and each Transaction are subject to the 2000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sz w:val="22"/>
        </w:rPr>
        <w:t>(e)</w:t>
        <w:tab/>
      </w:r>
      <w:r>
        <w:rPr>
          <w:b/>
          <w:sz w:val="22"/>
        </w:rPr>
        <w:t>Procedures for Entering into Transactions.</w:t>
      </w:r>
      <w:r>
        <w:rPr>
          <w:sz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sz w:val="22"/>
        </w:rPr>
        <w:t>(f)</w:t>
      </w:r>
      <w:r>
        <w:rPr>
          <w:b/>
          <w:sz w:val="22"/>
        </w:rPr>
        <w:tab/>
        <w:t>Recording.</w:t>
      </w:r>
      <w:r>
        <w:rPr>
          <w:sz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sz w:val="22"/>
        </w:rPr>
        <w:t>(g)</w:t>
        <w:tab/>
      </w:r>
      <w:r>
        <w:rPr>
          <w:b/>
          <w:sz w:val="22"/>
        </w:rPr>
        <w:t>Setoff.</w:t>
      </w:r>
      <w:r>
        <w:rPr>
          <w:sz w:val="22"/>
        </w:rPr>
        <w:t xml:space="preserve">  (A) The following proviso shall be added as Section 6(f):</w:t>
      </w:r>
    </w:p>
    <w:p>
      <w:pPr>
        <w:pStyle w:val="Normal"/>
        <w:spacing w:lineRule="exact" w:line="240" w:before="240" w:after="0"/>
        <w:ind w:start="720" w:end="0"/>
        <w:jc w:val="both"/>
        <w:rPr>
          <w:sz w:val="22"/>
        </w:rPr>
      </w:pPr>
      <w:r>
        <w:rPr>
          <w:sz w:val="22"/>
        </w:rPr>
        <w:t>In addition to any rights of set-off a party may have as a matter of law or otherwise, if that party (the “Payer”) is obliged to pay an amount (the “Early Termination Amount”) under Section 6(e) to the other party (the “Payee”) as a result of an Event of Default where the Payee is the Defaulting Party or an Illegality or Credit Event Upon Merger where the Payee is the sole Affected Party, the Payer will have the right (but will not be obliged) without prior notice to the Payee or any other person to set off any obligation owing by the Payee to the Payer (whether matured or unmatured, whether absolute or contingent and irrespective of the currency, place of payment or booking office of the obligation) against any obligation owing by the Payer to the Payee (whether matured or unmatured, whether absolute or contingent and irrespective of the currency, place of payment or booking office of the obligation) under this Agreement or otherwise.</w:t>
      </w:r>
    </w:p>
    <w:p>
      <w:pPr>
        <w:pStyle w:val="Normal"/>
        <w:spacing w:lineRule="exact" w:line="240" w:before="240" w:after="0"/>
        <w:ind w:start="720" w:end="0"/>
        <w:jc w:val="both"/>
        <w:rPr>
          <w:sz w:val="22"/>
        </w:rPr>
      </w:pPr>
      <w:r>
        <w:rPr>
          <w:sz w:val="22"/>
        </w:rPr>
        <w:t>For the purposes of cross-currency set-off, the Payer may convert any obligation into another currency at a market exchange rate determined by the Payer.</w:t>
      </w:r>
    </w:p>
    <w:p>
      <w:pPr>
        <w:pStyle w:val="Normal"/>
        <w:spacing w:lineRule="exact" w:line="240" w:before="240" w:after="0"/>
        <w:ind w:start="720" w:end="0"/>
        <w:jc w:val="both"/>
        <w:rPr>
          <w:sz w:val="22"/>
        </w:rPr>
      </w:pPr>
      <w:r>
        <w:rPr>
          <w:sz w:val="22"/>
        </w:rPr>
        <w:t>If an obligation is unascertained, the Payer may in good faith estimate that the obligation and set-off in respect of the estimate, subject to the relevant party accounting to the other when the obligation is ascertained.</w:t>
      </w:r>
    </w:p>
    <w:p>
      <w:pPr>
        <w:pStyle w:val="Normal"/>
        <w:spacing w:lineRule="exact" w:line="240" w:before="240" w:after="0"/>
        <w:ind w:start="720" w:end="0"/>
        <w:jc w:val="both"/>
        <w:rPr>
          <w:sz w:val="22"/>
        </w:rPr>
      </w:pPr>
      <w:r>
        <w:rPr>
          <w:sz w:val="22"/>
        </w:rPr>
        <w:t>Nothing in this Section will be effective to create a charge or other security interest.</w:t>
      </w:r>
    </w:p>
    <w:p>
      <w:pPr>
        <w:pStyle w:val="Normal"/>
        <w:spacing w:lineRule="exact" w:line="240" w:before="240" w:after="0"/>
        <w:ind w:firstLine="720" w:end="0"/>
        <w:jc w:val="both"/>
        <w:rPr>
          <w:sz w:val="22"/>
        </w:rPr>
      </w:pPr>
      <w:r>
        <w:rPr>
          <w:sz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under this Agreement or otherwise which are due and payable as of the Early Termination Date hereof have been fully and finally performed.</w:t>
      </w:r>
    </w:p>
    <w:p>
      <w:pPr>
        <w:pStyle w:val="Normal"/>
        <w:spacing w:lineRule="exact" w:line="240" w:before="240" w:after="0"/>
        <w:ind w:firstLine="720" w:end="0"/>
        <w:jc w:val="both"/>
        <w:rPr/>
      </w:pPr>
      <w:r>
        <w:rPr>
          <w:b/>
          <w:sz w:val="22"/>
        </w:rPr>
        <w:t>(h)</w:t>
        <w:tab/>
        <w:t xml:space="preserve">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b/>
          <w:color w:val="000000"/>
          <w:sz w:val="22"/>
        </w:rPr>
        <w:t>AND GENUINE PRE-ESTIMATE AND</w:t>
      </w:r>
      <w:r>
        <w:rPr>
          <w:b/>
          <w:sz w:val="22"/>
        </w:rPr>
        <w:t xml:space="preserve"> APPROXIMATION OF THE AMOUNT OF SUCH DAMAGES AND NOT A PENALTY.</w:t>
      </w:r>
    </w:p>
    <w:p>
      <w:pPr>
        <w:pStyle w:val="Normal"/>
        <w:spacing w:lineRule="exact" w:line="240" w:before="240" w:after="0"/>
        <w:ind w:firstLine="720" w:end="0"/>
        <w:jc w:val="both"/>
        <w:rPr/>
      </w:pPr>
      <w:r>
        <w:rPr>
          <w:sz w:val="22"/>
        </w:rPr>
        <w:t>(i)</w:t>
        <w:tab/>
      </w:r>
      <w:r>
        <w:rPr>
          <w:b/>
          <w:sz w:val="22"/>
        </w:rPr>
        <w:t>Confidentiality.</w:t>
      </w:r>
      <w:r>
        <w:rPr>
          <w:sz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sz w:val="22"/>
        </w:rPr>
      </w:pPr>
      <w:r>
        <w:rPr>
          <w:sz w:val="22"/>
        </w:rPr>
      </w:r>
    </w:p>
    <w:p>
      <w:pPr>
        <w:pStyle w:val="Normal"/>
        <w:spacing w:lineRule="exact" w:line="240"/>
        <w:ind w:firstLine="630" w:end="0"/>
        <w:jc w:val="both"/>
        <w:rPr/>
      </w:pPr>
      <w:r>
        <w:rPr>
          <w:sz w:val="22"/>
        </w:rPr>
        <w:t>(j)</w:t>
        <w:tab/>
      </w:r>
      <w:r>
        <w:rPr>
          <w:b/>
          <w:sz w:val="22"/>
        </w:rPr>
        <w:t>Transfer.</w:t>
      </w:r>
      <w:r>
        <w:rPr>
          <w:sz w:val="22"/>
        </w:rPr>
        <w:t xml:space="preserve">  Section 7 is hereby amended by adding the following Subsection (c):</w:t>
      </w:r>
    </w:p>
    <w:p>
      <w:pPr>
        <w:pStyle w:val="Normal"/>
        <w:spacing w:lineRule="exact" w:line="240"/>
        <w:ind w:firstLine="630" w:end="0"/>
        <w:jc w:val="both"/>
        <w:rPr>
          <w:sz w:val="22"/>
        </w:rPr>
      </w:pPr>
      <w:r>
        <w:rPr>
          <w:sz w:val="22"/>
        </w:rPr>
      </w:r>
    </w:p>
    <w:p>
      <w:pPr>
        <w:pStyle w:val="Normal"/>
        <w:spacing w:lineRule="exact" w:line="240"/>
        <w:ind w:firstLine="630" w:end="0"/>
        <w:jc w:val="both"/>
        <w:rPr>
          <w:sz w:val="22"/>
        </w:rPr>
      </w:pPr>
      <w:r>
        <w:rPr>
          <w:sz w:val="22"/>
        </w:rPr>
        <w:t>“</w:t>
      </w:r>
      <w:r>
        <w:rPr>
          <w:sz w:val="22"/>
        </w:rPr>
        <w:t>(c) Party A may transfer its rights and obligations under this Agreement, in whole but not in part, to any Affiliate located in the same tax jurisdiction as Party A so long as the obligations of such Affiliate are guaranteed by Enron Corp. pursuant to a guaranty substantially similar to the one provided on behalf of Party A, provided that such transfer will not give rise to a Termination Event or an Event of Default.”</w:t>
      </w:r>
    </w:p>
    <w:p>
      <w:pPr>
        <w:pStyle w:val="Normal"/>
        <w:spacing w:lineRule="exact" w:line="240" w:before="240" w:after="0"/>
        <w:ind w:firstLine="720" w:end="0"/>
        <w:jc w:val="both"/>
        <w:rPr/>
      </w:pPr>
      <w:r>
        <w:rPr>
          <w:sz w:val="22"/>
        </w:rPr>
        <w:t>(k)</w:t>
        <w:tab/>
      </w:r>
      <w:r>
        <w:rPr>
          <w:b/>
          <w:sz w:val="22"/>
        </w:rPr>
        <w:t>Applicable Rate.</w:t>
      </w:r>
      <w:r>
        <w:rPr>
          <w:sz w:val="22"/>
        </w:rPr>
        <w:t xml:space="preserve">  The definition of </w:t>
      </w:r>
      <w:r>
        <w:rPr>
          <w:b/>
          <w:sz w:val="22"/>
        </w:rPr>
        <w:t>“Applicable Rate”</w:t>
      </w:r>
      <w:r>
        <w:rPr>
          <w:sz w:val="22"/>
        </w:rPr>
        <w:t xml:space="preserve"> set forth in Section 14 is hereby amended by adding to the end of Subsection (b) of the definition after the word “Rate” the following provision:  “; </w:t>
      </w:r>
      <w:r>
        <w:rPr>
          <w:sz w:val="22"/>
          <w:u w:val="single"/>
        </w:rPr>
        <w:t>provided</w:t>
      </w:r>
      <w:r>
        <w:rPr>
          <w:sz w:val="22"/>
        </w:rPr>
        <w:t xml:space="preserve">, </w:t>
      </w:r>
      <w:r>
        <w:rPr>
          <w:sz w:val="22"/>
          <w:u w:val="single"/>
        </w:rPr>
        <w:t>however</w:t>
      </w:r>
      <w:r>
        <w:rPr>
          <w:sz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rPr>
        <w:t>(l)</w:t>
        <w:tab/>
      </w:r>
      <w:r>
        <w:rPr>
          <w:b/>
          <w:sz w:val="22"/>
        </w:rPr>
        <w:t>Severability.</w:t>
      </w:r>
      <w:r>
        <w:rPr>
          <w:sz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u w:val="single"/>
        </w:rPr>
        <w:t>provided</w:t>
      </w:r>
      <w:r>
        <w:rPr>
          <w:sz w:val="22"/>
        </w:rPr>
        <w:t xml:space="preserve">, </w:t>
      </w:r>
      <w:r>
        <w:rPr>
          <w:sz w:val="22"/>
          <w:u w:val="single"/>
        </w:rPr>
        <w:t>however</w:t>
      </w:r>
      <w:r>
        <w:rPr>
          <w:sz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before="240" w:after="0"/>
        <w:ind w:firstLine="720" w:end="0"/>
        <w:jc w:val="both"/>
        <w:rPr/>
      </w:pPr>
      <w:r>
        <w:rPr>
          <w:sz w:val="22"/>
        </w:rPr>
        <w:t>(m)</w:t>
        <w:tab/>
      </w:r>
      <w:r>
        <w:rPr>
          <w:b/>
          <w:sz w:val="22"/>
        </w:rPr>
        <w:t>Escrow.</w:t>
      </w:r>
      <w:r>
        <w:rPr>
          <w:sz w:val="22"/>
        </w:rPr>
        <w:t xml:space="preserve">  If, by reason of the time difference between the cities in which payments or deliveries are to be made under Section 2(a)(i) or otherwise, it is not possible for simultaneous payments or deliveries to be made on any date on which both parties are required to make payments or deliveries hereunder, either party may at its option and in its sole discretion notify the other party that payments or deliveries on such date are to be made in escrow.  In such case, the deposit of the payment or delivery due earlier on that date shall be made by 2:00 p.m. (local time at the place for the earlier payment or delivery) on that date with an escrow agent that is a commercial bank, independent of either party, with a minimum net worth of U.S. $100,000,000 or its equivalent in another currency, selected by such notifying party, accompanied by irrevocable payment or delivery instructions (i) to release the deposited payment or delivery to the intended recipient upon receipt by the escrow agent of the required deposit of the corresponding payment or delivery from the intended recipient on the same date accompanied by irrevocable payment or delivery instructions to the same effect, or (ii) if the required deposit of the corresponding payment or delivery is not made on that same date, to return the payment or delivery deposited to the party that paid or delivered into escrow.  The notifying party shall pay the costs of the escrow arrangements and shall cause those arrangements to provide that (A) in the case of a payment obligation under Section 2(a)(i), the intended recipient of the payment due to be deposited first shall be entitled to interest on that deposited payment for each day in the period of its deposit at the rate offered by the escrow agent for that day for overnight deposits in the relevant currency in the office where it holds the deposited payment (at 11:00 a.m. local time on that day) if the payment is not released by 5:00 p.m. local time on the date it is deposited for any reason other than the intended recipient’s failure to make the escrow deposit it was required to make in a timely manner, and (B) in the case of a delivery obligation under Section 2(a)(i), the intended recipient of the delivery due to be deposited first shall be entitled to compensation as and to the extent provided for in the relevant Confirmation or elsewhere in this Agreement if the deposited delivery is not released by 5:00 p.m. local time on the date it is deposited for any reason other than the intended recipient's failure to make the escrow deposit it was required to make in a timely manner.</w:t>
      </w:r>
    </w:p>
    <w:p>
      <w:pPr>
        <w:pStyle w:val="Justified"/>
        <w:widowControl/>
        <w:spacing w:lineRule="exact" w:line="240" w:before="0" w:after="0"/>
        <w:rPr>
          <w:rFonts w:ascii="Times New Roman" w:hAnsi="Times New Roman" w:cs="Times New Roman"/>
          <w:sz w:val="22"/>
        </w:rPr>
      </w:pPr>
      <w:r>
        <w:rPr>
          <w:rFonts w:cs="Times New Roman" w:ascii="Times New Roman" w:hAnsi="Times New Roman"/>
          <w:sz w:val="22"/>
        </w:rPr>
      </w:r>
    </w:p>
    <w:p>
      <w:pPr>
        <w:pStyle w:val="BodyText"/>
        <w:widowControl/>
        <w:ind w:firstLine="720" w:end="0"/>
        <w:jc w:val="both"/>
        <w:rPr/>
      </w:pPr>
      <w:r>
        <w:rPr/>
        <w:t>(n)</w:t>
        <w:tab/>
      </w:r>
      <w:r>
        <w:rPr>
          <w:b/>
        </w:rPr>
        <w:t>European Monetary Union.</w:t>
      </w:r>
      <w:r>
        <w:rPr/>
        <w:t xml:space="preserve">  The definitions and provisions of Annexes 1 to 5 (inclusive) and Section 6 of the EMU Protocol, published by ISDA on May 6, 1998, are hereby incorporated in this Agreement.  References in those definitions and provisions to any “ISDA” Master Agreement will be deemed to be references to this Agreement.</w:t>
      </w:r>
    </w:p>
    <w:p>
      <w:pPr>
        <w:pStyle w:val="BodyText"/>
        <w:widowControl/>
        <w:ind w:firstLine="720" w:end="0"/>
        <w:jc w:val="both"/>
        <w:rPr/>
      </w:pPr>
      <w:r>
        <w:rPr/>
      </w:r>
    </w:p>
    <w:p>
      <w:pPr>
        <w:pStyle w:val="BodyText"/>
        <w:widowControl/>
        <w:ind w:firstLine="720" w:end="0"/>
        <w:jc w:val="both"/>
        <w:rPr/>
      </w:pPr>
      <w:r>
        <w:rPr/>
        <w:t>(o)</w:t>
        <w:tab/>
      </w:r>
      <w:r>
        <w:rPr>
          <w:b/>
          <w:bCs/>
        </w:rPr>
        <w:t>Scope of Agreement.</w:t>
      </w:r>
      <w:r>
        <w:rPr/>
        <w:t xml:space="preserve">  Notwithstanding anything contained in the Agreement to the contrary, if the parties enter into, or have entered into, any Specified Transaction, such Specified Transaction shall be subject to, governed by and construed in accordance with the terms of this Agreement unless the Confirmation relating thereto shall specifically state to the contrary.  Each such Specified Transaction shall be a Transaction for the purposes of this Agreement.</w:t>
      </w:r>
    </w:p>
    <w:p>
      <w:pPr>
        <w:pStyle w:val="BodyText"/>
        <w:widowControl/>
        <w:ind w:firstLine="720" w:end="0"/>
        <w:jc w:val="both"/>
        <w:rPr/>
      </w:pPr>
      <w:r>
        <w:rPr/>
      </w:r>
    </w:p>
    <w:p>
      <w:pPr>
        <w:pStyle w:val="BodyText"/>
        <w:widowControl/>
        <w:ind w:firstLine="720" w:end="0"/>
        <w:jc w:val="both"/>
        <w:rPr/>
      </w:pPr>
      <w:r>
        <w:rPr/>
        <w:t>(p)</w:t>
        <w:tab/>
      </w:r>
      <w:r>
        <w:rPr>
          <w:b/>
          <w:bCs/>
        </w:rPr>
        <w:t>Administrative Errors and Omissions.</w:t>
      </w:r>
      <w:r>
        <w:rPr/>
        <w:t xml:space="preserve">  The following proviso shall be inserted at the end of Section 5(a)(vi) of this Agreement:</w:t>
      </w:r>
    </w:p>
    <w:p>
      <w:pPr>
        <w:pStyle w:val="BodyText"/>
        <w:widowControl/>
        <w:ind w:firstLine="720" w:end="0"/>
        <w:jc w:val="both"/>
        <w:rPr/>
      </w:pPr>
      <w:r>
        <w:rPr/>
      </w:r>
    </w:p>
    <w:p>
      <w:pPr>
        <w:pStyle w:val="BodyText"/>
        <w:widowControl/>
        <w:ind w:start="720" w:end="0"/>
        <w:jc w:val="both"/>
        <w:rPr/>
      </w:pPr>
      <w:r>
        <w:rPr/>
        <w:t>“</w:t>
      </w:r>
      <w:r>
        <w:rPr/>
        <w:t>provided, however, that notwithstanding the foregoing, an Event of Default shall not occur under either (1) or (2) above if the event or condition referred to in (1) or the failure to pay referred to in (2) is a failure to pay caused by an error or omission of an administrative or operational nature and funds were available to such party to enable it to make the relevant payment when due, provided that such error or omission is remedied within three (3) Business Days of such notice being received.”</w:t>
      </w:r>
    </w:p>
    <w:p>
      <w:pPr>
        <w:pStyle w:val="BodyText"/>
        <w:widowControl/>
        <w:jc w:val="both"/>
        <w:rPr/>
      </w:pPr>
      <w:r>
        <w:rPr/>
      </w:r>
    </w:p>
    <w:p>
      <w:pPr>
        <w:pStyle w:val="BodyText"/>
        <w:widowControl/>
        <w:jc w:val="both"/>
        <w:rPr>
          <w:b/>
        </w:rPr>
      </w:pPr>
      <w:r>
        <w:rPr>
          <w:b/>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rPr>
      </w:pPr>
      <w:r>
        <w:rPr>
          <w:rFonts w:cs="Times New Roman" w:ascii="Times New Roman" w:hAnsi="Times New Roman"/>
          <w:b/>
        </w:rPr>
      </w:r>
    </w:p>
    <w:p>
      <w:pPr>
        <w:pStyle w:val="Normal"/>
        <w:ind w:firstLine="720" w:end="0"/>
        <w:jc w:val="both"/>
        <w:rPr>
          <w:sz w:val="22"/>
        </w:rPr>
      </w:pPr>
      <w:r>
        <w:rPr>
          <w:sz w:val="22"/>
        </w:rPr>
        <w:t>(a)</w:t>
        <w:tab/>
        <w:t>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rPr>
      </w:pPr>
      <w:r>
        <w:rPr>
          <w:sz w:val="22"/>
        </w:rPr>
      </w:r>
    </w:p>
    <w:p>
      <w:pPr>
        <w:pStyle w:val="Normal"/>
        <w:ind w:firstLine="720" w:end="0"/>
        <w:jc w:val="both"/>
        <w:rPr>
          <w:sz w:val="22"/>
        </w:rPr>
      </w:pPr>
      <w:r>
        <w:rPr>
          <w:sz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2"/>
        </w:rPr>
      </w:pPr>
      <w:r>
        <w:rPr>
          <w:sz w:val="22"/>
        </w:rPr>
      </w:r>
    </w:p>
    <w:p>
      <w:pPr>
        <w:pStyle w:val="Normal"/>
        <w:ind w:firstLine="720" w:end="0"/>
        <w:jc w:val="both"/>
        <w:rPr>
          <w:sz w:val="22"/>
        </w:rPr>
      </w:pPr>
      <w:r>
        <w:rPr>
          <w:sz w:val="22"/>
        </w:rPr>
        <w:t>(c)</w:t>
        <w:tab/>
        <w:t>Section 7.4(c)(viii) of the Commodity Definitions is hereby amended by the addition of the following at the end thereof:</w:t>
      </w:r>
    </w:p>
    <w:p>
      <w:pPr>
        <w:pStyle w:val="Normal"/>
        <w:ind w:firstLine="720" w:end="0"/>
        <w:jc w:val="both"/>
        <w:rPr>
          <w:sz w:val="22"/>
        </w:rPr>
      </w:pPr>
      <w:r>
        <w:rPr>
          <w:sz w:val="22"/>
        </w:rPr>
      </w:r>
    </w:p>
    <w:p>
      <w:pPr>
        <w:pStyle w:val="Normal"/>
        <w:ind w:firstLine="720" w:start="720" w:end="0"/>
        <w:jc w:val="both"/>
        <w:rPr>
          <w:sz w:val="22"/>
        </w:rPr>
      </w:pPr>
      <w:r>
        <w:rPr>
          <w:sz w:val="22"/>
        </w:rPr>
        <w:t>“</w:t>
      </w:r>
      <w:r>
        <w:rPr>
          <w:sz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2"/>
        </w:rPr>
      </w:pPr>
      <w:r>
        <w:rPr>
          <w:sz w:val="22"/>
        </w:rPr>
      </w:r>
    </w:p>
    <w:p>
      <w:pPr>
        <w:pStyle w:val="Normal"/>
        <w:ind w:firstLine="720" w:end="0"/>
        <w:jc w:val="both"/>
        <w:rPr>
          <w:sz w:val="22"/>
        </w:rPr>
      </w:pPr>
      <w:r>
        <w:rPr>
          <w:sz w:val="22"/>
        </w:rPr>
        <w:t>(d)</w:t>
        <w:tab/>
        <w:t>Section 7.5(e) of the Commodity Definitions is hereby deleted.</w:t>
      </w:r>
    </w:p>
    <w:p>
      <w:pPr>
        <w:pStyle w:val="Normal"/>
        <w:ind w:firstLine="720" w:end="0"/>
        <w:jc w:val="both"/>
        <w:rPr>
          <w:sz w:val="22"/>
        </w:rPr>
      </w:pPr>
      <w:r>
        <w:rPr>
          <w:sz w:val="22"/>
        </w:rPr>
      </w:r>
    </w:p>
    <w:p>
      <w:pPr>
        <w:pStyle w:val="Normal"/>
        <w:ind w:firstLine="720" w:end="0"/>
        <w:jc w:val="both"/>
        <w:rPr>
          <w:sz w:val="22"/>
        </w:rPr>
      </w:pPr>
      <w:r>
        <w:rPr>
          <w:sz w:val="22"/>
        </w:rPr>
        <w:t>(e)</w:t>
        <w:tab/>
        <w:t>“Additional Market Disruption Events” shall apply only if so specified in the relevant Confirmation.</w:t>
      </w:r>
    </w:p>
    <w:p>
      <w:pPr>
        <w:pStyle w:val="Normal"/>
        <w:ind w:firstLine="720" w:end="0"/>
        <w:jc w:val="both"/>
        <w:rPr>
          <w:sz w:val="22"/>
        </w:rPr>
      </w:pPr>
      <w:r>
        <w:rPr>
          <w:sz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rPr>
      </w:pPr>
      <w:r>
        <w:rPr>
          <w:rFonts w:cs="Times New Roman"/>
          <w:sz w:val="22"/>
        </w:rPr>
      </w:r>
    </w:p>
    <w:p>
      <w:pPr>
        <w:pStyle w:val="Normal"/>
        <w:ind w:firstLine="720" w:start="1440" w:end="720"/>
        <w:jc w:val="both"/>
        <w:rPr>
          <w:sz w:val="22"/>
        </w:rPr>
      </w:pPr>
      <w:r>
        <w:rPr>
          <w:sz w:val="22"/>
        </w:rPr>
        <w:t>(i)</w:t>
        <w:tab/>
        <w:t>“Postponement”, with three (3) Commodity Business Days as the Maximum Days of Disruption;</w:t>
      </w:r>
    </w:p>
    <w:p>
      <w:pPr>
        <w:pStyle w:val="Normal"/>
        <w:ind w:firstLine="720" w:start="1440" w:end="720"/>
        <w:jc w:val="both"/>
        <w:rPr>
          <w:sz w:val="22"/>
        </w:rPr>
      </w:pPr>
      <w:r>
        <w:rPr>
          <w:sz w:val="22"/>
        </w:rPr>
      </w:r>
    </w:p>
    <w:p>
      <w:pPr>
        <w:pStyle w:val="Normal"/>
        <w:ind w:firstLine="720" w:start="1440" w:end="720"/>
        <w:jc w:val="both"/>
        <w:rPr>
          <w:sz w:val="22"/>
        </w:rPr>
      </w:pPr>
      <w:r>
        <w:rPr>
          <w:sz w:val="22"/>
        </w:rPr>
        <w:t>(ii)</w:t>
        <w:tab/>
        <w:t>“Fallback Reference Price” (if the relevant parties have specified an alternate Commodity Reference Price in the Confirmation);</w:t>
      </w:r>
    </w:p>
    <w:p>
      <w:pPr>
        <w:pStyle w:val="Normal"/>
        <w:ind w:firstLine="720" w:start="1440" w:end="720"/>
        <w:jc w:val="both"/>
        <w:rPr>
          <w:sz w:val="22"/>
        </w:rPr>
      </w:pPr>
      <w:r>
        <w:rPr>
          <w:sz w:val="22"/>
        </w:rPr>
      </w:r>
    </w:p>
    <w:p>
      <w:pPr>
        <w:pStyle w:val="Normal"/>
        <w:ind w:firstLine="720" w:start="1440" w:end="720"/>
        <w:jc w:val="both"/>
        <w:rPr>
          <w:sz w:val="22"/>
        </w:rPr>
      </w:pPr>
      <w:r>
        <w:rPr>
          <w:sz w:val="22"/>
        </w:rPr>
        <w:t>(iii)</w:t>
        <w:tab/>
        <w:t>“Negotiated Fallback” (provided that the reference in Section 7.5(c)(ii) to “fifth Business Day” shall be amended to be “twelfth Business Day”); and</w:t>
      </w:r>
    </w:p>
    <w:p>
      <w:pPr>
        <w:pStyle w:val="Normal"/>
        <w:ind w:firstLine="720" w:start="1440" w:end="720"/>
        <w:jc w:val="both"/>
        <w:rPr>
          <w:sz w:val="22"/>
        </w:rPr>
      </w:pPr>
      <w:r>
        <w:rPr>
          <w:sz w:val="22"/>
        </w:rPr>
      </w:r>
    </w:p>
    <w:p>
      <w:pPr>
        <w:pStyle w:val="Normal"/>
        <w:ind w:start="1440" w:end="0"/>
        <w:jc w:val="both"/>
        <w:rPr>
          <w:sz w:val="22"/>
        </w:rPr>
      </w:pPr>
      <w:r>
        <w:rPr>
          <w:sz w:val="22"/>
        </w:rPr>
        <w:tab/>
        <w:t>(iv)</w:t>
        <w:tab/>
        <w:t>The Relevant Price will be determined and calculated as set forth in the definition of “Commodity-Reference Dealers”, however, notwithstanding any reference to the number of Specified Prices in such definition, Party A shall obtain in good faith quotations from two (2) leading dealers in the relevant market and the price for that Pricing Date will be the arithmetic mean of the Specified Prices.</w:t>
      </w:r>
    </w:p>
    <w:p>
      <w:pPr>
        <w:pStyle w:val="Normal"/>
        <w:jc w:val="both"/>
        <w:rPr>
          <w:sz w:val="22"/>
        </w:rPr>
      </w:pPr>
      <w:r>
        <w:rPr>
          <w:sz w:val="22"/>
        </w:rPr>
      </w:r>
    </w:p>
    <w:p>
      <w:pPr>
        <w:pStyle w:val="Normal"/>
        <w:ind w:firstLine="720" w:end="0"/>
        <w:jc w:val="both"/>
        <w:rPr/>
      </w:pPr>
      <w:r>
        <w:rPr>
          <w:sz w:val="22"/>
        </w:rPr>
        <w:t>(g)</w:t>
        <w:tab/>
        <w:t>For purposes of any Transaction in which paper or pulp is the relevant Commodity, the phrase "within 30 calendar days" in line 5 of Section 7.3 of the Commodity Definitions shall be replaced by the phrase "within 40 calendar days</w:t>
      </w:r>
      <w:r>
        <w:rPr>
          <w:color w:val="000000"/>
          <w:sz w:val="22"/>
        </w:rPr>
        <w:t>."</w:t>
      </w:r>
    </w:p>
    <w:p>
      <w:pPr>
        <w:pStyle w:val="Header"/>
        <w:widowControl/>
        <w:rPr>
          <w:color w:val="000000"/>
          <w:sz w:val="22"/>
        </w:rPr>
      </w:pPr>
      <w:r>
        <w:rPr>
          <w:color w:val="000000"/>
          <w:sz w:val="22"/>
        </w:rPr>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rPr>
      </w:pPr>
      <w:r>
        <w:rPr>
          <w:rFonts w:cs="Times New Roman"/>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rPr>
                <w:color w:val="FF0000"/>
                <w:sz w:val="22"/>
              </w:rPr>
            </w:pPr>
            <w:r>
              <w:rPr>
                <w:b/>
                <w:sz w:val="22"/>
              </w:rPr>
              <w:t>ENRON CAPITAL &amp; TRADE RESOUCES INTERNATIONAL CORP.</w:t>
            </w:r>
          </w:p>
          <w:p>
            <w:pPr>
              <w:pStyle w:val="Normal"/>
              <w:keepNext w:val="true"/>
              <w:spacing w:lineRule="exact" w:line="240"/>
              <w:jc w:val="both"/>
              <w:rPr>
                <w:color w:val="FF0000"/>
                <w:sz w:val="22"/>
              </w:rPr>
            </w:pPr>
            <w:r>
              <w:rPr>
                <w:color w:val="FF0000"/>
                <w:sz w:val="22"/>
              </w:rPr>
            </w:r>
          </w:p>
          <w:p>
            <w:pPr>
              <w:pStyle w:val="Normal"/>
              <w:keepNext w:val="true"/>
              <w:spacing w:lineRule="exact" w:line="240"/>
              <w:jc w:val="both"/>
              <w:rPr>
                <w:sz w:val="22"/>
                <w:u w:val="single"/>
              </w:rPr>
            </w:pPr>
            <w:r>
              <w:rPr>
                <w:sz w:val="22"/>
              </w:rPr>
              <w:t>By:</w:t>
              <w:tab/>
              <w:t>Enron Europe Finance &amp; Trading Limited</w:t>
            </w:r>
          </w:p>
          <w:p>
            <w:pPr>
              <w:pStyle w:val="Normal"/>
              <w:keepNext w:val="true"/>
              <w:spacing w:lineRule="exact" w:line="240"/>
              <w:jc w:val="both"/>
              <w:rPr>
                <w:sz w:val="22"/>
                <w:u w:val="single"/>
              </w:rPr>
            </w:pPr>
            <w:r>
              <w:rPr>
                <w:sz w:val="22"/>
                <w:u w:val="single"/>
              </w:rPr>
            </w:r>
          </w:p>
          <w:p>
            <w:pPr>
              <w:pStyle w:val="Normal"/>
              <w:keepNext w:val="true"/>
              <w:spacing w:lineRule="exact" w:line="240"/>
              <w:jc w:val="both"/>
              <w:rPr>
                <w:sz w:val="22"/>
              </w:rPr>
            </w:pPr>
            <w:r>
              <w:rPr>
                <w:sz w:val="22"/>
              </w:rPr>
              <w:t>Name:</w:t>
              <w:tab/>
            </w:r>
            <w:r>
              <w:rPr>
                <w:sz w:val="22"/>
                <w:u w:val="single"/>
              </w:rPr>
              <w:tab/>
              <w:tab/>
              <w:tab/>
              <w:tab/>
              <w:tab/>
            </w:r>
          </w:p>
          <w:p>
            <w:pPr>
              <w:pStyle w:val="Normal"/>
              <w:keepNext w:val="true"/>
              <w:tabs>
                <w:tab w:val="clear" w:pos="720"/>
                <w:tab w:val="left" w:pos="4320" w:leader="none"/>
              </w:tabs>
              <w:spacing w:lineRule="exact" w:line="240"/>
              <w:jc w:val="both"/>
              <w:rPr>
                <w:sz w:val="22"/>
              </w:rPr>
            </w:pPr>
            <w:r>
              <w:rPr>
                <w:sz w:val="22"/>
              </w:rPr>
              <w:t xml:space="preserve">Title:    </w:t>
            </w:r>
            <w:r>
              <w:rPr>
                <w:sz w:val="22"/>
                <w:u w:val="single"/>
              </w:rPr>
              <w:tab/>
            </w:r>
          </w:p>
          <w:p>
            <w:pPr>
              <w:pStyle w:val="Normal"/>
              <w:keepNext w:val="true"/>
              <w:spacing w:lineRule="exact" w:line="240"/>
              <w:jc w:val="both"/>
              <w:rPr>
                <w:sz w:val="22"/>
              </w:rPr>
            </w:pPr>
            <w:r>
              <w:rPr>
                <w:sz w:val="22"/>
              </w:rPr>
              <w:t xml:space="preserve">Date:     </w:t>
            </w:r>
            <w:r>
              <w:rPr>
                <w:sz w:val="22"/>
                <w:u w:val="single"/>
              </w:rPr>
              <w:tab/>
              <w:tab/>
              <w:tab/>
              <w:tab/>
              <w:tab/>
            </w:r>
          </w:p>
        </w:tc>
        <w:tc>
          <w:tcPr>
            <w:tcW w:w="4788" w:type="dxa"/>
            <w:tcBorders/>
          </w:tcPr>
          <w:p>
            <w:pPr>
              <w:pStyle w:val="Normal"/>
              <w:keepNext w:val="true"/>
              <w:spacing w:lineRule="exact" w:line="240"/>
              <w:jc w:val="both"/>
              <w:rPr>
                <w:b/>
                <w:sz w:val="22"/>
              </w:rPr>
            </w:pPr>
            <w:r>
              <w:rPr>
                <w:b/>
                <w:sz w:val="22"/>
              </w:rPr>
              <w:t>SITA</w:t>
            </w:r>
          </w:p>
          <w:p>
            <w:pPr>
              <w:pStyle w:val="Normal"/>
              <w:keepNext w:val="true"/>
              <w:spacing w:lineRule="exact" w:line="240"/>
              <w:jc w:val="both"/>
              <w:rPr>
                <w:b/>
                <w:sz w:val="22"/>
              </w:rPr>
            </w:pPr>
            <w:r>
              <w:rPr>
                <w:b/>
                <w:sz w:val="22"/>
              </w:rPr>
            </w:r>
          </w:p>
          <w:p>
            <w:pPr>
              <w:pStyle w:val="Normal"/>
              <w:keepNext w:val="true"/>
              <w:spacing w:lineRule="exact" w:line="240"/>
              <w:jc w:val="both"/>
              <w:rPr/>
            </w:pPr>
            <w:r>
              <w:rPr>
                <w:sz w:val="22"/>
              </w:rPr>
              <w:t>By:</w:t>
              <w:tab/>
            </w:r>
            <w:r>
              <w:rPr>
                <w:sz w:val="22"/>
                <w:u w:val="single"/>
              </w:rPr>
              <w:tab/>
              <w:tab/>
              <w:tab/>
              <w:tab/>
              <w:tab/>
            </w:r>
          </w:p>
          <w:p>
            <w:pPr>
              <w:pStyle w:val="Normal"/>
              <w:keepNext w:val="true"/>
              <w:spacing w:lineRule="exact" w:line="240"/>
              <w:jc w:val="both"/>
              <w:rPr>
                <w:sz w:val="22"/>
                <w:u w:val="single"/>
              </w:rPr>
            </w:pPr>
            <w:r>
              <w:rPr>
                <w:sz w:val="22"/>
                <w:u w:val="single"/>
              </w:rPr>
            </w:r>
          </w:p>
          <w:p>
            <w:pPr>
              <w:pStyle w:val="Normal"/>
              <w:keepNext w:val="true"/>
              <w:spacing w:lineRule="exact" w:line="240"/>
              <w:jc w:val="both"/>
              <w:rPr>
                <w:sz w:val="22"/>
              </w:rPr>
            </w:pPr>
            <w:r>
              <w:rPr>
                <w:sz w:val="22"/>
              </w:rPr>
              <w:t>Name:</w:t>
              <w:tab/>
            </w:r>
            <w:r>
              <w:rPr>
                <w:sz w:val="22"/>
                <w:u w:val="single"/>
              </w:rPr>
              <w:tab/>
              <w:tab/>
              <w:tab/>
              <w:tab/>
              <w:tab/>
            </w:r>
          </w:p>
          <w:p>
            <w:pPr>
              <w:pStyle w:val="Normal"/>
              <w:keepNext w:val="true"/>
              <w:spacing w:lineRule="exact" w:line="240"/>
              <w:jc w:val="both"/>
              <w:rPr/>
            </w:pPr>
            <w:r>
              <w:rPr>
                <w:sz w:val="22"/>
              </w:rPr>
              <w:t>Title:</w:t>
              <w:tab/>
            </w:r>
            <w:r>
              <w:rPr>
                <w:sz w:val="22"/>
                <w:u w:val="single"/>
              </w:rPr>
              <w:tab/>
              <w:tab/>
              <w:tab/>
              <w:tab/>
              <w:tab/>
            </w:r>
          </w:p>
          <w:p>
            <w:pPr>
              <w:pStyle w:val="Normal"/>
              <w:keepNext w:val="true"/>
              <w:spacing w:lineRule="exact" w:line="240"/>
              <w:jc w:val="both"/>
              <w:rPr>
                <w:sz w:val="22"/>
              </w:rPr>
            </w:pPr>
            <w:r>
              <w:rPr>
                <w:sz w:val="22"/>
              </w:rPr>
              <w:t xml:space="preserve">Date:     </w:t>
            </w:r>
            <w:r>
              <w:rPr>
                <w:sz w:val="22"/>
                <w:u w:val="single"/>
              </w:rPr>
              <w:tab/>
              <w:tab/>
              <w:tab/>
              <w:tab/>
              <w:tab/>
            </w:r>
          </w:p>
        </w:tc>
      </w:tr>
    </w:tbl>
    <w:p>
      <w:pPr>
        <w:pStyle w:val="Normal"/>
        <w:tabs>
          <w:tab w:val="clear" w:pos="720"/>
          <w:tab w:val="left" w:pos="2700" w:leader="none"/>
        </w:tabs>
        <w:spacing w:lineRule="exact" w:line="240"/>
        <w:jc w:val="both"/>
        <w:rPr>
          <w:sz w:val="22"/>
        </w:rPr>
      </w:pPr>
      <w:r>
        <w:rPr>
          <w:sz w:val="22"/>
        </w:rPr>
      </w:r>
    </w:p>
    <w:p>
      <w:pPr>
        <w:pStyle w:val="Normal"/>
        <w:tabs>
          <w:tab w:val="clear" w:pos="720"/>
          <w:tab w:val="left" w:pos="2700" w:leader="none"/>
        </w:tabs>
        <w:spacing w:lineRule="exact" w:line="240"/>
        <w:ind w:hanging="3060" w:start="3060" w:end="0"/>
        <w:jc w:val="both"/>
        <w:rPr>
          <w:sz w:val="22"/>
        </w:rPr>
      </w:pPr>
      <w:r>
        <w:rPr>
          <w:sz w:val="22"/>
        </w:rPr>
        <w:t>EXHIBIT A</w:t>
        <w:tab/>
        <w:t>FORM OF GUARANTY (PARTY A)</w:t>
      </w:r>
    </w:p>
    <w:p>
      <w:pPr>
        <w:sectPr>
          <w:headerReference w:type="default" r:id="rId2"/>
          <w:footerReference w:type="default" r:id="rId3"/>
          <w:type w:val="nextPage"/>
          <w:pgSz w:w="12240" w:h="15840"/>
          <w:pgMar w:left="1080" w:right="1080" w:gutter="0" w:header="720" w:top="1440" w:footer="720"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sz w:val="22"/>
        </w:rPr>
      </w:pPr>
      <w:r>
        <w:rPr>
          <w:sz w:val="22"/>
        </w:rPr>
      </w:r>
    </w:p>
    <w:p>
      <w:pPr>
        <w:pStyle w:val="Normal"/>
        <w:ind w:end="180"/>
        <w:jc w:val="center"/>
        <w:rPr>
          <w:b/>
          <w:bCs/>
          <w:sz w:val="22"/>
          <w:szCs w:val="22"/>
          <w:u w:val="single"/>
        </w:rPr>
      </w:pPr>
      <w:r>
        <w:rPr>
          <w:b/>
          <w:bCs/>
          <w:sz w:val="22"/>
          <w:szCs w:val="22"/>
          <w:u w:val="single"/>
        </w:rPr>
      </w:r>
    </w:p>
    <w:p>
      <w:pPr>
        <w:pStyle w:val="Normal"/>
        <w:ind w:end="180"/>
        <w:jc w:val="center"/>
        <w:rPr>
          <w:b/>
          <w:bCs/>
          <w:sz w:val="22"/>
          <w:szCs w:val="22"/>
        </w:rPr>
      </w:pPr>
      <w:r>
        <w:rPr>
          <w:b/>
          <w:bCs/>
          <w:sz w:val="22"/>
          <w:szCs w:val="22"/>
          <w:u w:val="single"/>
        </w:rPr>
        <w:t>EXHIBIT A</w:t>
      </w:r>
    </w:p>
    <w:p>
      <w:pPr>
        <w:pStyle w:val="Normal"/>
        <w:ind w:end="180"/>
        <w:jc w:val="center"/>
        <w:rPr>
          <w:b/>
          <w:bCs/>
          <w:sz w:val="22"/>
          <w:szCs w:val="22"/>
        </w:rPr>
      </w:pPr>
      <w:r>
        <w:rPr>
          <w:b/>
          <w:bCs/>
          <w:sz w:val="22"/>
          <w:szCs w:val="22"/>
        </w:rPr>
      </w:r>
    </w:p>
    <w:p>
      <w:pPr>
        <w:pStyle w:val="Normal"/>
        <w:ind w:end="180"/>
        <w:jc w:val="center"/>
        <w:rPr>
          <w:b/>
          <w:bCs/>
          <w:sz w:val="22"/>
          <w:szCs w:val="22"/>
        </w:rPr>
      </w:pPr>
      <w:r>
        <w:rPr>
          <w:b/>
          <w:bCs/>
          <w:sz w:val="22"/>
          <w:szCs w:val="22"/>
        </w:rPr>
        <w:t>ENRON CORP.</w:t>
      </w:r>
    </w:p>
    <w:p>
      <w:pPr>
        <w:pStyle w:val="Normal"/>
        <w:spacing w:lineRule="exact" w:line="240"/>
        <w:ind w:end="180"/>
        <w:jc w:val="center"/>
        <w:rPr>
          <w:b/>
          <w:bCs/>
          <w:sz w:val="22"/>
          <w:szCs w:val="22"/>
          <w:u w:val="single"/>
        </w:rPr>
      </w:pPr>
      <w:r>
        <w:rPr>
          <w:b/>
          <w:bCs/>
          <w:sz w:val="22"/>
          <w:szCs w:val="22"/>
          <w:u w:val="single"/>
        </w:rPr>
      </w:r>
    </w:p>
    <w:p>
      <w:pPr>
        <w:pStyle w:val="Normal"/>
        <w:spacing w:lineRule="exact" w:line="240"/>
        <w:ind w:end="180"/>
        <w:jc w:val="center"/>
        <w:rPr>
          <w:sz w:val="22"/>
          <w:szCs w:val="22"/>
        </w:rPr>
      </w:pPr>
      <w:r>
        <w:rPr>
          <w:sz w:val="22"/>
          <w:szCs w:val="22"/>
          <w:u w:val="single"/>
        </w:rPr>
        <w:t>Guaranty</w:t>
      </w:r>
    </w:p>
    <w:p>
      <w:pPr>
        <w:pStyle w:val="Normal"/>
        <w:spacing w:lineRule="exact" w:line="480"/>
        <w:jc w:val="both"/>
        <w:rPr>
          <w:sz w:val="22"/>
          <w:szCs w:val="22"/>
        </w:rPr>
      </w:pPr>
      <w:r>
        <w:rPr>
          <w:sz w:val="22"/>
          <w:szCs w:val="22"/>
        </w:rPr>
      </w:r>
    </w:p>
    <w:p>
      <w:pPr>
        <w:pStyle w:val="Normal"/>
        <w:spacing w:lineRule="atLeast" w:line="240"/>
        <w:ind w:firstLine="720" w:end="0"/>
        <w:jc w:val="both"/>
        <w:rPr/>
      </w:pPr>
      <w:r>
        <w:rPr>
          <w:sz w:val="22"/>
          <w:szCs w:val="22"/>
        </w:rPr>
        <w:t xml:space="preserve">This Guaranty (the “Guaranty”), dated as of </w:t>
      </w:r>
      <w:r>
        <w:rPr>
          <w:sz w:val="22"/>
          <w:szCs w:val="22"/>
          <w:u w:val="single"/>
        </w:rPr>
        <w:tab/>
        <w:tab/>
      </w:r>
      <w:r>
        <w:rPr>
          <w:sz w:val="22"/>
          <w:szCs w:val="22"/>
        </w:rPr>
        <w:t xml:space="preserve">, 2000, is made and entered into by </w:t>
      </w:r>
      <w:r>
        <w:rPr>
          <w:caps/>
          <w:sz w:val="22"/>
          <w:szCs w:val="22"/>
        </w:rPr>
        <w:t>Enron Corp.</w:t>
      </w:r>
      <w:r>
        <w:rPr>
          <w:sz w:val="22"/>
          <w:szCs w:val="22"/>
        </w:rPr>
        <w:t>, an Oregon corporation (“Guarantor”).</w:t>
      </w:r>
    </w:p>
    <w:p>
      <w:pPr>
        <w:pStyle w:val="Normal"/>
        <w:keepNext w:val="true"/>
        <w:spacing w:lineRule="exact" w:line="240" w:before="480" w:after="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BodyTextIndent"/>
        <w:rPr/>
      </w:pPr>
      <w:r>
        <w:rPr/>
        <w:t xml:space="preserve">WHEREAS, SITA, a company organized under the laws of France (“Counterparty”), and ENRON CAPTIAL &amp; TRADE RESOURCES INTERNATIONAL CORP.(“Enron”),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Counterparty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this Guaranty is a continuing Guaranty and the Guarantor hereby irrevocably and unconditionally guarantees the timely payment when due of the obligations of Enron (the “Obligations”) to Counterparty under the Contract.  This Guaranty shall constitute a guarantee of payment and not of collection.  The liability of Guarantor under the Guaranty shall be subject to the following:</w:t>
      </w:r>
    </w:p>
    <w:p>
      <w:pPr>
        <w:pStyle w:val="BodyTextIndent3"/>
        <w:spacing w:before="240" w:after="0"/>
        <w:ind w:hanging="0" w:end="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numPr>
          <w:ilvl w:val="0"/>
          <w:numId w:val="2"/>
        </w:numPr>
        <w:spacing w:before="240" w:after="0"/>
        <w:rPr/>
      </w:pPr>
      <w:r>
        <w:rPr/>
        <w:t>The aggregate amount covered by this Guaranty shall not exceed U.S. $15,000,000.</w:t>
      </w:r>
    </w:p>
    <w:p>
      <w:pPr>
        <w:pStyle w:val="BodyTextIndent3"/>
        <w:numPr>
          <w:ilvl w:val="0"/>
          <w:numId w:val="2"/>
        </w:numPr>
        <w:spacing w:before="240" w:after="0"/>
        <w:rPr/>
      </w:pPr>
      <w:r>
        <w:rPr/>
        <w:t>In addition, the Guarantor agrees as a separate and primary obligation and not merely as surety to indemnify and keep indemnified the Counterparty for and against any loss, cost, expense or liability of any kind incurred as a result of any of the obligations hereby guaranteed by the Guarantor being or becoming void, unenforceable or ineffective against Enron for any reason whatsoever whether known to the Counterparty or not;</w:t>
      </w:r>
    </w:p>
    <w:p>
      <w:pPr>
        <w:pStyle w:val="BodyTextIndent3"/>
        <w:numPr>
          <w:ilvl w:val="0"/>
          <w:numId w:val="2"/>
        </w:numPr>
        <w:spacing w:before="240" w:after="0"/>
        <w:rPr/>
      </w:pPr>
      <w:r>
        <w:rPr/>
        <w:t>The Guarantor’s obligations under this Guaranty shall not be affected by:</w:t>
      </w:r>
    </w:p>
    <w:p>
      <w:pPr>
        <w:pStyle w:val="BodyTextIndent3"/>
        <w:numPr>
          <w:ilvl w:val="1"/>
          <w:numId w:val="2"/>
        </w:numPr>
        <w:spacing w:before="240" w:after="0"/>
        <w:rPr/>
      </w:pPr>
      <w:r>
        <w:rPr/>
        <w:t>any of the obligations and liabilities owed by Enron to the Counterparty now or in the future becoming illegal, invalid, unenforceable or ineffective; and</w:t>
      </w:r>
    </w:p>
    <w:p>
      <w:pPr>
        <w:pStyle w:val="BodyTextIndent3"/>
        <w:numPr>
          <w:ilvl w:val="1"/>
          <w:numId w:val="2"/>
        </w:numPr>
        <w:spacing w:before="240" w:after="0"/>
        <w:rPr/>
      </w:pPr>
      <w:r>
        <w:rPr/>
        <w:t>any other act or event which but for this clause c(i), might operate to discharge the Guarantor’s obligations under this Guaranty.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2.  </w:t>
      </w:r>
      <w:r>
        <w:rPr>
          <w:sz w:val="22"/>
          <w:szCs w:val="22"/>
          <w:u w:val="single"/>
        </w:rPr>
        <w:t>DEMANDS AND NOTICE</w:t>
      </w:r>
      <w:r>
        <w:rPr>
          <w:sz w:val="22"/>
          <w:szCs w:val="22"/>
        </w:rPr>
        <w:t>.  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spacing w:lineRule="atLeast" w:line="240"/>
        <w:ind w:firstLine="720" w:end="0"/>
        <w:jc w:val="both"/>
        <w:rPr>
          <w:sz w:val="22"/>
          <w:szCs w:val="22"/>
        </w:rPr>
      </w:pPr>
      <w:r>
        <w:rPr>
          <w:sz w:val="22"/>
          <w:szCs w:val="22"/>
        </w:rPr>
      </w:r>
    </w:p>
    <w:p>
      <w:pPr>
        <w:pStyle w:val="Normal"/>
        <w:keepNext w:val="true"/>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keepNext w:val="true"/>
        <w:spacing w:lineRule="exact" w:line="240" w:before="240" w:after="0"/>
        <w:ind w:firstLine="630" w:start="810" w:end="0"/>
        <w:jc w:val="both"/>
        <w:rPr>
          <w:sz w:val="22"/>
          <w:szCs w:val="22"/>
        </w:rPr>
      </w:pPr>
      <w:r>
        <w:rPr>
          <w:sz w:val="22"/>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szCs w:val="22"/>
        </w:rPr>
      </w:pPr>
      <w:r>
        <w:rPr>
          <w:sz w:val="22"/>
          <w:szCs w:val="22"/>
        </w:rPr>
        <w:t>(c)  this Guaranty, when executed and delivered, will constitute a valid, legally binding and enforceable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writing signed by Guarantor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ten (10)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 w:val="22"/>
                <w:szCs w:val="22"/>
              </w:rPr>
            </w:pPr>
            <w:r>
              <w:rPr>
                <w:color w:val="000000"/>
                <w:sz w:val="22"/>
                <w:szCs w:val="22"/>
              </w:rPr>
              <w:t>To Counterparty:</w:t>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SITA</w:t>
            </w:r>
          </w:p>
        </w:tc>
        <w:tc>
          <w:tcPr>
            <w:tcW w:w="1530" w:type="dxa"/>
            <w:tcBorders/>
          </w:tcPr>
          <w:p>
            <w:pPr>
              <w:pStyle w:val="Normal"/>
              <w:keepNext w:val="true"/>
              <w:keepLines/>
              <w:spacing w:lineRule="atLeast" w:line="240"/>
              <w:rPr>
                <w:color w:val="000000"/>
                <w:sz w:val="22"/>
                <w:szCs w:val="22"/>
              </w:rPr>
            </w:pPr>
            <w:r>
              <w:rPr>
                <w:color w:val="000000"/>
                <w:sz w:val="22"/>
                <w:szCs w:val="22"/>
              </w:rPr>
              <w:t>To Guarantor:</w:t>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Enron Corp.</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132 rue des Trois Fontanot</w:t>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1400 Smith Street</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92758 Nanterre</w:t>
            </w:r>
          </w:p>
          <w:p>
            <w:pPr>
              <w:pStyle w:val="Normal"/>
              <w:keepNext w:val="true"/>
              <w:keepLines/>
              <w:tabs>
                <w:tab w:val="clear" w:pos="720"/>
                <w:tab w:val="left" w:pos="3132" w:leader="none"/>
              </w:tabs>
              <w:spacing w:lineRule="atLeast" w:line="240"/>
              <w:rPr>
                <w:color w:val="000000"/>
                <w:sz w:val="22"/>
                <w:szCs w:val="22"/>
              </w:rPr>
            </w:pPr>
            <w:r>
              <w:rPr>
                <w:color w:val="000000"/>
                <w:sz w:val="22"/>
                <w:szCs w:val="22"/>
              </w:rPr>
              <w:t>Cedex France</w:t>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Houston, Texas 77002</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u w:val="single"/>
              </w:rPr>
            </w:pPr>
            <w:r>
              <w:rPr>
                <w:color w:val="000000"/>
                <w:sz w:val="22"/>
                <w:szCs w:val="22"/>
              </w:rPr>
              <w:t>Attn.:  Philippe Dessain</w:t>
            </w:r>
          </w:p>
          <w:p>
            <w:pPr>
              <w:pStyle w:val="Normal"/>
              <w:keepNext w:val="true"/>
              <w:keepLines/>
              <w:tabs>
                <w:tab w:val="clear" w:pos="720"/>
                <w:tab w:val="left" w:pos="3132" w:leader="none"/>
              </w:tabs>
              <w:spacing w:lineRule="atLeast" w:line="240"/>
              <w:rPr>
                <w:color w:val="000000"/>
                <w:sz w:val="22"/>
                <w:szCs w:val="22"/>
                <w:u w:val="single"/>
              </w:rPr>
            </w:pPr>
            <w:r>
              <w:rPr>
                <w:color w:val="000000"/>
                <w:sz w:val="22"/>
                <w:szCs w:val="22"/>
                <w:u w:val="single"/>
              </w:rPr>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Fax No.:  33 1 42 91 68 81</w:t>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Fax No.:  (713) 646-3422</w:t>
            </w:r>
          </w:p>
        </w:tc>
      </w:tr>
    </w:tbl>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p>
      <w:pPr>
        <w:pStyle w:val="Normal"/>
        <w:spacing w:lineRule="atLeast" w:line="240"/>
        <w:jc w:val="both"/>
        <w:rPr>
          <w:sz w:val="22"/>
          <w:szCs w:val="22"/>
        </w:rPr>
      </w:pPr>
      <w:r>
        <w:rPr>
          <w:sz w:val="22"/>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8.  </w:t>
      </w:r>
      <w:r>
        <w:rPr>
          <w:sz w:val="22"/>
          <w:szCs w:val="22"/>
          <w:u w:val="single"/>
        </w:rPr>
        <w:t>PROCESS AGENT</w:t>
      </w:r>
      <w:r>
        <w:rPr>
          <w:sz w:val="22"/>
          <w:szCs w:val="22"/>
        </w:rPr>
        <w:t>.  For the purpose of this Guaranty, the Guarantor appoints as its Process Agent, Enron Europe Finance &amp; Trading  Limited, Enron House, 40 Grosvenor Place, London SW1X 7EN.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9.  </w:t>
      </w:r>
      <w:r>
        <w:rPr>
          <w:sz w:val="22"/>
          <w:szCs w:val="22"/>
          <w:u w:val="single"/>
        </w:rPr>
        <w:t>MISCELLANEOUS</w:t>
      </w:r>
      <w:r>
        <w:rPr>
          <w:sz w:val="22"/>
          <w:szCs w:val="22"/>
        </w:rPr>
        <w:t>.  This Guaranty shall in all respects be governed by, and construed in accordance with, the laws of England, and Guarantor and Counterparty agree to submit to the exclusive jurisdiction of the High Court of Justice, England, in respect of any matter arising under this Guaranty and waive any claim that any proceedings brought in such courts in respect of any matter arising under this Guaranty have been brought in an inconvenient forum.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r>
        <w:br w:type="page"/>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IN WITNESS WHEREOF, the Guarantor has executed this Guaranty on </w:t>
        <w:tab/>
      </w:r>
      <w:r>
        <w:rPr>
          <w:sz w:val="22"/>
          <w:szCs w:val="22"/>
          <w:u w:val="single"/>
        </w:rPr>
        <w:tab/>
      </w:r>
      <w:r>
        <w:rPr>
          <w:sz w:val="22"/>
          <w:szCs w:val="22"/>
        </w:rPr>
        <w:t>, 2000, but it is effective as of the date first above written.</w:t>
      </w:r>
    </w:p>
    <w:p>
      <w:pPr>
        <w:pStyle w:val="Normal"/>
        <w:spacing w:lineRule="atLeast" w:line="240"/>
        <w:ind w:firstLine="72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t>ENRON CORP.</w:t>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tab/>
      </w:r>
    </w:p>
    <w:p>
      <w:pPr>
        <w:pStyle w:val="Normal"/>
        <w:spacing w:lineRule="atLeast" w:line="240"/>
        <w:ind w:start="5040" w:end="0"/>
        <w:jc w:val="both"/>
        <w:rPr/>
      </w:pPr>
      <w:r>
        <w:rPr>
          <w:sz w:val="22"/>
          <w:szCs w:val="22"/>
        </w:rPr>
        <w:t xml:space="preserve">Title:  </w:t>
      </w:r>
      <w:r>
        <w:rPr>
          <w:sz w:val="22"/>
          <w:szCs w:val="22"/>
          <w:u w:val="single"/>
        </w:rPr>
        <w:tab/>
        <w:tab/>
        <w:tab/>
        <w:tab/>
        <w:tab/>
        <w:tab/>
      </w:r>
    </w:p>
    <w:p>
      <w:pPr>
        <w:pStyle w:val="Normal"/>
        <w:ind w:end="180"/>
        <w:jc w:val="center"/>
        <w:rPr/>
      </w:pPr>
      <w:r>
        <w:rPr/>
      </w:r>
    </w:p>
    <w:sectPr>
      <w:headerReference w:type="default" r:id="rId4"/>
      <w:headerReference w:type="first" r:id="rId5"/>
      <w:footerReference w:type="default" r:id="rId6"/>
      <w:footerReference w:type="first" r:id="rId7"/>
      <w:type w:val="nextPage"/>
      <w:pgSz w:w="12240" w:h="15840"/>
      <w:pgMar w:left="1080" w:right="108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2"/>
      </w:rPr>
    </w:pPr>
    <w:r>
      <w:rPr>
        <w:sz w:val="12"/>
      </w:rPr>
      <w:fldChar w:fldCharType="begin"/>
    </w:r>
    <w:r>
      <w:rPr>
        <w:sz w:val="12"/>
      </w:rPr>
      <w:instrText xml:space="preserve"> FILENAME \p </w:instrText>
    </w:r>
    <w:r>
      <w:rPr>
        <w:sz w:val="12"/>
      </w:rPr>
      <w:fldChar w:fldCharType="separate"/>
    </w:r>
    <w:r>
      <w:rPr>
        <w:sz w:val="12"/>
      </w:rPr>
      <w:t>/mnt/main-storage/datasets/enron-docs/doc/028dctr_SITA_.doc</w:t>
    </w:r>
    <w:r>
      <w:rPr>
        <w:sz w:val="12"/>
      </w:rPr>
      <w:fldChar w:fldCharType="end"/>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2"/>
      </w:rPr>
    </w:pPr>
    <w:r>
      <w:rPr>
        <w:sz w:val="12"/>
      </w:rPr>
      <w:fldChar w:fldCharType="begin"/>
    </w:r>
    <w:r>
      <w:rPr>
        <w:sz w:val="12"/>
      </w:rPr>
      <w:instrText xml:space="preserve"> FILENAME \p </w:instrText>
    </w:r>
    <w:r>
      <w:rPr>
        <w:sz w:val="12"/>
      </w:rPr>
      <w:fldChar w:fldCharType="separate"/>
    </w:r>
    <w:r>
      <w:rPr>
        <w:sz w:val="12"/>
      </w:rPr>
      <w:t>/mnt/main-storage/datasets/enron-docs/doc/028dctr_SITA_.doc</w:t>
    </w:r>
    <w:r>
      <w:rPr>
        <w:sz w:val="12"/>
      </w:rPr>
      <w:fldChar w:fldCharType="end"/>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sz w:val="24"/>
      </w:rPr>
    </w:pPr>
    <w:r>
      <w:rPr>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sz w:val="24"/>
      </w:rPr>
    </w:pPr>
    <w:r>
      <w:rPr>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lowerLetter"/>
      <w:lvlText w:val="(%1)"/>
      <w:lvlJc w:val="start"/>
      <w:pPr>
        <w:tabs>
          <w:tab w:val="num" w:pos="1095"/>
        </w:tabs>
        <w:ind w:start="1095" w:hanging="375"/>
      </w:pPr>
      <w:rPr/>
    </w:lvl>
    <w:lvl w:ilvl="1">
      <w:start w:val="1"/>
      <w:numFmt w:val="lowerRoman"/>
      <w:lvlText w:val="(%2)"/>
      <w:lvlJc w:val="start"/>
      <w:pPr>
        <w:tabs>
          <w:tab w:val="num" w:pos="2160"/>
        </w:tabs>
        <w:ind w:start="2160" w:hanging="720"/>
      </w:pPr>
      <w:r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3">
    <w:lvl w:ilvl="0">
      <w:start w:val="10"/>
      <w:numFmt w:val="lowerLetter"/>
      <w:lvlText w:val="(%1)"/>
      <w:lvlJc w:val="start"/>
      <w:pPr>
        <w:tabs>
          <w:tab w:val="num" w:pos="1440"/>
        </w:tabs>
        <w:ind w:start="144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color w:val="0000FF"/>
      <w:sz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sz w:val="22"/>
    </w:rPr>
  </w:style>
  <w:style w:type="paragraph" w:styleId="Heading4">
    <w:name w:val="heading 4"/>
    <w:basedOn w:val="Normal"/>
    <w:next w:val="Normal"/>
    <w:qFormat/>
    <w:pPr>
      <w:keepNext w:val="true"/>
      <w:numPr>
        <w:ilvl w:val="3"/>
        <w:numId w:val="1"/>
      </w:numPr>
      <w:jc w:val="end"/>
      <w:outlineLvl w:val="3"/>
    </w:pPr>
    <w:rPr>
      <w:b/>
      <w:sz w:val="22"/>
      <w:u w:val="single"/>
    </w:rPr>
  </w:style>
  <w:style w:type="character" w:styleId="WW8Num10z0">
    <w:name w:val="WW8Num10z0"/>
    <w:qFormat/>
    <w:rPr/>
  </w:style>
  <w:style w:type="character" w:styleId="WW8Num13z0">
    <w:name w:val="WW8Num13z0"/>
    <w:qFormat/>
    <w:rPr/>
  </w:style>
  <w:style w:type="character" w:styleId="WW8Num17z0">
    <w:name w:val="WW8Num17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z w:val="22"/>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sz w:val="22"/>
    </w:rPr>
  </w:style>
  <w:style w:type="paragraph" w:styleId="BodyTextIndent3">
    <w:name w:val="Body Text Indent 3"/>
    <w:basedOn w:val="Normal"/>
    <w:qFormat/>
    <w:pPr>
      <w:widowControl w:val="false"/>
      <w:spacing w:lineRule="exact" w:line="240"/>
      <w:ind w:firstLine="720" w:start="720" w:end="0"/>
      <w:jc w:val="both"/>
    </w:pPr>
    <w:rPr>
      <w:sz w:val="22"/>
    </w:rPr>
  </w:style>
  <w:style w:type="paragraph" w:styleId="Justified">
    <w:name w:val="Justified"/>
    <w:basedOn w:val="Normal"/>
    <w:next w:val="Heading2"/>
    <w:qFormat/>
    <w:pPr>
      <w:widowControl w:val="false"/>
      <w:spacing w:before="0" w:after="120"/>
      <w:jc w:val="both"/>
    </w:pPr>
    <w:rPr>
      <w:rFonts w:ascii="Arial" w:hAnsi="Arial" w:cs="Arial"/>
      <w:sz w:val="22"/>
    </w:rPr>
  </w:style>
  <w:style w:type="paragraph" w:styleId="BodyText2">
    <w:name w:val="Body Text 2"/>
    <w:basedOn w:val="Normal"/>
    <w:qFormat/>
    <w:pPr>
      <w:widowControl w:val="false"/>
      <w:spacing w:lineRule="exact" w:line="240"/>
      <w:ind w:hanging="0" w:start="720" w:end="0"/>
      <w:jc w:val="both"/>
    </w:pPr>
    <w:rPr>
      <w:sz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Times New Roman" w:hAnsi="Tms Rmn;Times New Roman" w:cs="Tms Rmn;Times New Roman"/>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rPr>
  </w:style>
  <w:style w:type="paragraph" w:styleId="Footer">
    <w:name w:val="footer"/>
    <w:basedOn w:val="Normal"/>
    <w:pPr>
      <w:widowControl w:val="false"/>
      <w:tabs>
        <w:tab w:val="clear" w:pos="720"/>
        <w:tab w:val="center" w:pos="4320" w:leader="none"/>
        <w:tab w:val="right" w:pos="8640" w:leader="none"/>
      </w:tabs>
    </w:pPr>
    <w:rPr>
      <w:sz w:val="22"/>
    </w:rPr>
  </w:style>
  <w:style w:type="paragraph" w:styleId="FootnoteText">
    <w:name w:val="footnote text"/>
    <w:basedOn w:val="Normal"/>
    <w:pPr>
      <w:widowControl w:val="false"/>
    </w:pPr>
    <w:rPr>
      <w:sz w:val="22"/>
    </w:rPr>
  </w:style>
  <w:style w:type="paragraph" w:styleId="BodyTextIndent">
    <w:name w:val="Body Text Indent"/>
    <w:basedOn w:val="Normal"/>
    <w:pPr>
      <w:ind w:hanging="0" w:start="1080" w:end="0"/>
      <w:jc w:val="both"/>
    </w:pPr>
    <w:rPr>
      <w:sz w:val="22"/>
    </w:rPr>
  </w:style>
  <w:style w:type="paragraph" w:styleId="Expanded">
    <w:name w:val="Expanded"/>
    <w:basedOn w:val="Normal"/>
    <w:next w:val="Normal"/>
    <w:qFormat/>
    <w:pPr>
      <w:spacing w:before="0" w:after="240"/>
      <w:jc w:val="center"/>
    </w:pPr>
    <w:rPr>
      <w:b/>
      <w:caps/>
      <w:spacing w:val="60"/>
      <w:sz w:val="22"/>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2000-12-06T15:26:00Z</dcterms:created>
  <dc:creator>mheard</dc:creator>
  <dc:description/>
  <dc:language>en-CA</dc:language>
  <cp:lastModifiedBy>spanus</cp:lastModifiedBy>
  <cp:lastPrinted>2000-12-06T12:03:00Z</cp:lastPrinted>
  <dcterms:modified xsi:type="dcterms:W3CDTF">2000-12-11T18:13:00Z</dcterms:modified>
  <cp:revision>5</cp:revision>
  <dc:subject/>
  <dc:title>ISDA Multicurrency Agreement</dc:title>
</cp:coreProperties>
</file>