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07/17/2001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SMURFIT CARTON Y PAPEL DE MEXICO, S.A. DE C.V., a sociedad anonima de capital variable organized under the law of Mexico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$3,000,000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Party A </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 xml:space="preserve">Copies of Party B’s and its Credit Support Provider’s (if any) articles of incorporation and bylaws, as amended from time to time </w:t>
            </w:r>
            <w:r>
              <w:rPr>
                <w:rFonts w:cs="Times New Roman" w:ascii="Times New Roman" w:hAnsi="Times New Roman"/>
                <w:i/>
                <w:iCs/>
              </w:rPr>
              <w:t>(escritura constitutiva y estatutos sociales vigentes)</w:t>
            </w:r>
            <w:r>
              <w:rPr>
                <w:rFonts w:cs="Times New Roman" w:ascii="Times New Roman" w:hAnsi="Times New Roman"/>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FF00FF"/>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Smurfit Carton y Papel de Mexico, S.A.</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de C.V.</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Jaime Balmes 11, Torre D, Piso 7</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Col. Los Morales Polanco</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11510 Mexico, D.F.</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spacing w:lineRule="atLeast" w:line="240"/>
        <w:ind w:start="720" w:end="0"/>
        <w:jc w:val="both"/>
        <w:rPr/>
      </w:pPr>
      <w:r>
        <w:rPr>
          <w:sz w:val="22"/>
        </w:rPr>
        <w:t>(b)</w:t>
        <w:tab/>
      </w:r>
      <w:r>
        <w:rPr>
          <w:b/>
          <w:sz w:val="22"/>
        </w:rPr>
        <w:t>Agreement To Arbitrate and Selection Of Arbitrators:</w:t>
      </w:r>
      <w:r>
        <w:rPr>
          <w:sz w:val="22"/>
        </w:rPr>
        <w:t xml:space="preserve">  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ab/>
        <w:t>Governing Law, And Authority Of The Arbitrators:</w:t>
      </w:r>
      <w:r>
        <w:rPr>
          <w:sz w:val="22"/>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ab/>
        <w:t>Forum and Language For The Arbitration:</w:t>
      </w:r>
      <w:r>
        <w:rPr>
          <w:sz w:val="22"/>
        </w:rPr>
        <w:t xml:space="preserve">  The arbitration proceeding shall be conducted in Houston, Texas and the language of such proceedings shall be in English.</w:t>
      </w:r>
    </w:p>
    <w:p>
      <w:pPr>
        <w:pStyle w:val="Normal"/>
        <w:spacing w:lineRule="atLeast" w:line="240"/>
        <w:ind w:start="720" w:end="0"/>
        <w:jc w:val="both"/>
        <w:rPr>
          <w:sz w:val="22"/>
        </w:rPr>
      </w:pPr>
      <w:r>
        <w:rPr>
          <w:sz w:val="22"/>
        </w:rPr>
      </w:r>
    </w:p>
    <w:p>
      <w:pPr>
        <w:pStyle w:val="Normal"/>
        <w:ind w:start="720" w:end="0"/>
        <w:jc w:val="both"/>
        <w:rPr/>
      </w:pPr>
      <w:r>
        <w:rPr>
          <w:b/>
          <w:sz w:val="22"/>
        </w:rPr>
        <w:tab/>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sz w:val="22"/>
          <w:szCs w:val="22"/>
        </w:rPr>
        <w:t>(c)</w:t>
        <w:tab/>
      </w:r>
      <w:r>
        <w:rPr>
          <w:b/>
          <w:bCs/>
          <w:sz w:val="22"/>
          <w:szCs w:val="22"/>
        </w:rPr>
        <w:t>Additional Representations of the Parties.</w:t>
      </w:r>
      <w:r>
        <w:rPr>
          <w:sz w:val="22"/>
          <w:szCs w:val="22"/>
        </w:rPr>
        <w:t xml:space="preserve">  For the purpose of Section 3 of the</w:t>
      </w:r>
    </w:p>
    <w:p>
      <w:pPr>
        <w:pStyle w:val="Normal"/>
        <w:jc w:val="both"/>
        <w:rPr>
          <w:sz w:val="22"/>
          <w:szCs w:val="22"/>
        </w:rPr>
      </w:pPr>
      <w:r>
        <w:rPr>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sz w:val="22"/>
          <w:szCs w:val="22"/>
        </w:rPr>
        <w:t>Party A.</w:t>
      </w:r>
      <w:r>
        <w:rPr>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pPr>
      <w:r>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spacing w:before="0" w:after="0"/>
        <w:rPr/>
      </w:pPr>
      <w:r>
        <w:rPr>
          <w:rFonts w:cs="Times New Roman" w:ascii="Times New Roman" w:hAnsi="Times New Roman"/>
          <w:b/>
          <w:bCs/>
          <w:sz w:val="22"/>
          <w:szCs w:val="22"/>
        </w:rPr>
        <w:t>Party B.</w:t>
      </w:r>
      <w:r>
        <w:rPr>
          <w:rFonts w:cs="Times New Roman" w:ascii="Times New Roman" w:hAnsi="Times New Roman"/>
          <w:sz w:val="22"/>
          <w:szCs w:val="22"/>
        </w:rPr>
        <w:t xml:space="preserve">  Party B hereby represents and warrants to Party A that:</w:t>
      </w:r>
    </w:p>
    <w:p>
      <w:pPr>
        <w:pStyle w:val="Heading2"/>
        <w:keepNext w:val="true"/>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sz w:val="22"/>
          <w:szCs w:val="22"/>
        </w:rPr>
        <w:t>(i)</w:t>
        <w:tab/>
        <w:t>It is a Mexican sociedad anonima de capital variable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r>
        <w:rPr>
          <w:rFonts w:cs="Times New Roman" w:ascii="Times New Roman" w:hAnsi="Times New Roman"/>
          <w:sz w:val="22"/>
          <w:szCs w:val="22"/>
          <w:u w:val="single"/>
        </w:rPr>
        <w:t xml:space="preserve"> _________</w:t>
      </w:r>
      <w:r>
        <w:rPr>
          <w:rFonts w:cs="Times New Roman" w:ascii="Times New Roman" w:hAnsi="Times New Roman"/>
          <w:sz w:val="22"/>
          <w:szCs w:val="22"/>
        </w:rPr>
        <w:t>) under registry No. _________________________________________on __________________; and whose principal place of business is _________________________________.</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sz w:val="22"/>
          <w:szCs w:val="22"/>
        </w:rPr>
      </w:pPr>
      <w:r>
        <w:rPr>
          <w:rFonts w:cs="Times New Roman"/>
          <w:sz w:val="22"/>
          <w:szCs w:val="22"/>
        </w:rPr>
      </w:r>
    </w:p>
    <w:p>
      <w:pPr>
        <w:pStyle w:val="Normal"/>
        <w:tabs>
          <w:tab w:val="clear" w:pos="720"/>
          <w:tab w:val="left" w:pos="2160" w:leader="none"/>
        </w:tabs>
        <w:ind w:hanging="720" w:start="2160" w:end="0"/>
        <w:jc w:val="both"/>
        <w:rPr>
          <w:sz w:val="22"/>
          <w:szCs w:val="22"/>
        </w:rPr>
      </w:pPr>
      <w:r>
        <w:rPr>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sz w:val="22"/>
          <w:szCs w:val="22"/>
        </w:rPr>
      </w:pPr>
      <w:r>
        <w:rPr>
          <w:sz w:val="22"/>
          <w:szCs w:val="22"/>
        </w:rPr>
      </w:r>
    </w:p>
    <w:p>
      <w:pPr>
        <w:pStyle w:val="BodyTextIndent"/>
        <w:spacing w:lineRule="auto" w:line="240" w:before="0" w:after="0"/>
        <w:rPr/>
      </w:pPr>
      <w:r>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SMURFIT CARTON Y PAPEL DE MEXICO,</w:t>
            </w:r>
          </w:p>
          <w:p>
            <w:pPr>
              <w:pStyle w:val="Normal"/>
              <w:keepNext w:val="true"/>
              <w:spacing w:lineRule="exact" w:line="240"/>
              <w:jc w:val="both"/>
              <w:rPr>
                <w:sz w:val="22"/>
                <w:szCs w:val="22"/>
              </w:rPr>
            </w:pPr>
            <w:r>
              <w:rPr>
                <w:b/>
                <w:bCs/>
                <w:sz w:val="22"/>
                <w:szCs w:val="22"/>
              </w:rPr>
              <w:t>S.A. DE C.V.</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Smurfit Carton y Papel de Mexico, S.A. de C.V.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Mexico.</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sociedad anonima de capital variable duly existing under the laws of Mexico.</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Mexico and any political subdivision thereof and would be given effect by the courts of Mexico and any political subdivision thereof.</w:t>
      </w:r>
    </w:p>
    <w:p>
      <w:pPr>
        <w:pStyle w:val="Normal"/>
        <w:tabs>
          <w:tab w:val="clear" w:pos="720"/>
          <w:tab w:val="left" w:pos="1440" w:leader="none"/>
        </w:tabs>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jc w:val="end"/>
        <w:rPr>
          <w:sz w:val="22"/>
          <w:szCs w:val="22"/>
        </w:rPr>
      </w:pPr>
      <w:r>
        <w:rPr>
          <w:sz w:val="22"/>
          <w:szCs w:val="22"/>
        </w:rPr>
        <w:t>Very truly yours</w:t>
        <w:tab/>
        <w:tab/>
        <w:tab/>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SMURFIT CARTON Y PAPEL DE MEXICO, S.A. DE C.V., a sociedad anonima de capital variable organized under the law of Mexico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$3,500,000;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szCs w:val="22"/>
        </w:rPr>
      </w:pP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r>
        <w:br w:type="page"/>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w:t>
      </w:r>
      <w:r>
        <w:rPr>
          <w:color w:val="FF0000"/>
          <w:sz w:val="22"/>
          <w:szCs w:val="22"/>
        </w:rPr>
        <w:t xml:space="preserve"> </w:t>
      </w:r>
      <w:r>
        <w:rPr>
          <w:sz w:val="22"/>
          <w:szCs w:val="22"/>
        </w:rPr>
        <w:t>(i) the ratio of its Total Debt to Net Worth is more than 1 to 1, or (ii) its Net Worth falls below U.S. $120,000,000, or (iii) its EBITDA Coverage Ratio shall be less than 4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Party B.</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SMURFIT CARTON Y PAPEL DE MEXICO, S.A. DE C.V., a Mexican sociedad anonima de capital variable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Smurfit Carton y Papel de Mexico,</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S.A. de C.V.</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Jaime Balmes 11, Torre D, Piso 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Col. Los Morales Polanco</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11510 Mexico, D.F.</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Attn.: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/mnt/main-storage/datasets/enron-docs/doc/028ctr_smurfit_carton_.doc</w:t>
    </w:r>
    <w:r>
      <w:rPr>
        <w:rStyle w:val="PageNumber"/>
        <w:sz w:val="16"/>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/mnt/main-storage/datasets/enron-docs/doc/028ctr_smurfit_carton_.doc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/mnt/main-storage/datasets/enron-docs/doc/028ctr_smurfit_carton_.doc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/mnt/main-storage/datasets/enron-docs/doc/028ctr_smurfit_carton_.doc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2001-07-17T14:05:00Z</dcterms:created>
  <dc:creator>mheard</dc:creator>
  <dc:description/>
  <dc:language>en-CA</dc:language>
  <cp:lastModifiedBy>mheard</cp:lastModifiedBy>
  <cp:lastPrinted>2001-07-17T12:59:00Z</cp:lastPrinted>
  <dcterms:modified xsi:type="dcterms:W3CDTF">2001-07-17T15:29:00Z</dcterms:modified>
  <cp:revision>5</cp:revision>
  <dc:subject/>
  <dc:title>ISDA Multicurrency Agreement</dc:title>
</cp:coreProperties>
</file>