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Draft of 11/09/00</w:t>
      </w:r>
    </w:p>
    <w:p>
      <w:pPr>
        <w:pStyle w:val="Normal"/>
        <w:jc w:val="end"/>
        <w:rPr>
          <w:b/>
          <w:sz w:val="22"/>
        </w:rPr>
      </w:pPr>
      <w:r>
        <w:rPr>
          <w:b/>
          <w:sz w:val="22"/>
        </w:rPr>
      </w:r>
    </w:p>
    <w:p>
      <w:pPr>
        <w:pStyle w:val="Normal"/>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2000</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CAPITAL &amp; TRADE RESOURCES INTERNATIONAL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color w:val="808000"/>
                <w:sz w:val="22"/>
              </w:rPr>
            </w:pPr>
            <w:r>
              <w:rPr>
                <w:b/>
                <w:sz w:val="22"/>
              </w:rPr>
              <w:t>SITA, a company organized under the law of France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 with regard, in both cases, to Section 5(a)(v), 5(a)(vi), 5(a)(vii) and 5(b)(iv) of this Agreement.</w:t>
      </w:r>
    </w:p>
    <w:p>
      <w:pPr>
        <w:pStyle w:val="Normal"/>
        <w:spacing w:lineRule="exact" w:line="240" w:before="240" w:after="0"/>
        <w:ind w:firstLine="720" w:end="0"/>
        <w:jc w:val="both"/>
        <w:rPr/>
      </w:pPr>
      <w:r>
        <w:rPr>
          <w:sz w:val="22"/>
        </w:rPr>
        <w:t>(b)</w:t>
        <w:tab/>
      </w:r>
      <w:r>
        <w:rPr>
          <w:b/>
          <w:bCs/>
          <w:sz w:val="22"/>
        </w:rPr>
        <w:t>“Specified Transaction”</w:t>
      </w:r>
      <w:r>
        <w:rPr>
          <w:sz w:val="22"/>
        </w:rPr>
        <w:t xml:space="preserve"> will have the meaning specified in Section 14 of this Agreement.</w:t>
      </w:r>
    </w:p>
    <w:p>
      <w:pPr>
        <w:pStyle w:val="Normal"/>
        <w:spacing w:lineRule="exact" w:line="240" w:before="240" w:after="0"/>
        <w:ind w:firstLine="720" w:end="0"/>
        <w:jc w:val="both"/>
        <w:rPr/>
      </w:pPr>
      <w:r>
        <w:rPr>
          <w:sz w:val="22"/>
        </w:rPr>
        <w:t>(c)</w:t>
        <w:tab/>
        <w:t>The “</w:t>
      </w:r>
      <w:r>
        <w:rPr>
          <w:b/>
          <w:sz w:val="22"/>
        </w:rPr>
        <w:t>Cross Default”</w:t>
      </w:r>
      <w:r>
        <w:rPr>
          <w:sz w:val="22"/>
        </w:rPr>
        <w:t xml:space="preserve"> provisions of Section 5(a)(vi) will apply to Party A, and will apply to Party B. </w:t>
      </w:r>
    </w:p>
    <w:p>
      <w:pPr>
        <w:pStyle w:val="Normal"/>
        <w:spacing w:lineRule="exact" w:line="240" w:before="240" w:after="0"/>
        <w:ind w:start="360" w:end="0"/>
        <w:jc w:val="both"/>
        <w:rPr>
          <w:bCs/>
          <w:sz w:val="22"/>
        </w:rPr>
      </w:pPr>
      <w:r>
        <w:rPr>
          <w:bCs/>
          <w:sz w:val="22"/>
        </w:rPr>
        <w:t>For the purpose of Section 5(a)(vi) of this Agreement:</w:t>
      </w:r>
    </w:p>
    <w:p>
      <w:pPr>
        <w:pStyle w:val="Normal"/>
        <w:spacing w:lineRule="exact" w:line="240" w:before="240" w:after="0"/>
        <w:ind w:start="360" w:end="0"/>
        <w:jc w:val="both"/>
        <w:rPr/>
      </w:pPr>
      <w:r>
        <w:rPr>
          <w:b/>
          <w:sz w:val="22"/>
        </w:rPr>
        <w:t>“</w:t>
      </w:r>
      <w:r>
        <w:rPr>
          <w:b/>
          <w:sz w:val="22"/>
        </w:rPr>
        <w:t>Specified Indebtedness”</w:t>
      </w:r>
      <w:r>
        <w:rPr>
          <w:bCs/>
          <w:sz w:val="22"/>
        </w:rPr>
        <w:t xml:space="preserve"> will have the meaning specified in Section 14 of this Agreement. </w:t>
      </w:r>
    </w:p>
    <w:p>
      <w:pPr>
        <w:pStyle w:val="Normal"/>
        <w:spacing w:lineRule="exact" w:line="240" w:before="240" w:after="0"/>
        <w:ind w:start="360" w:end="0"/>
        <w:jc w:val="both"/>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w:t>
      </w:r>
      <w:r>
        <w:rPr>
          <w:color w:val="000000"/>
          <w:sz w:val="22"/>
        </w:rPr>
        <w:t xml:space="preserve">;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rPr>
        <w:t>(d)</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(e)</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(f)</w:t>
        <w:tab/>
      </w:r>
      <w:r>
        <w:rPr>
          <w:b/>
          <w:sz w:val="22"/>
        </w:rPr>
        <w:t>Payments on Early Termination.</w:t>
      </w:r>
      <w:r>
        <w:rPr>
          <w:sz w:val="22"/>
        </w:rPr>
        <w:t xml:space="preserve">  For the purpose of Section 6(e):  (i) Loss will apply, and (ii) the Second Method will apply.</w:t>
      </w:r>
    </w:p>
    <w:p>
      <w:pPr>
        <w:pStyle w:val="Normal"/>
        <w:spacing w:lineRule="exact" w:line="240" w:before="240" w:after="0"/>
        <w:ind w:firstLine="720" w:end="0"/>
        <w:jc w:val="both"/>
        <w:rPr/>
      </w:pPr>
      <w:r>
        <w:rPr>
          <w:sz w:val="22"/>
        </w:rPr>
        <w:t>(g)</w:t>
        <w:tab/>
      </w:r>
      <w:r>
        <w:rPr>
          <w:b/>
          <w:sz w:val="22"/>
        </w:rPr>
        <w:t>“Termination Currency”</w:t>
      </w:r>
      <w:r>
        <w:rPr>
          <w:sz w:val="22"/>
        </w:rPr>
        <w:t xml:space="preserve"> means United States Dollars, except as otherwise agreed in any Transaction.</w:t>
      </w:r>
    </w:p>
    <w:p>
      <w:pPr>
        <w:pStyle w:val="Normal"/>
        <w:spacing w:lineRule="exact" w:line="240" w:before="240" w:after="0"/>
        <w:ind w:firstLine="720" w:end="0"/>
        <w:jc w:val="both"/>
        <w:rPr/>
      </w:pPr>
      <w:r>
        <w:rPr>
          <w:sz w:val="22"/>
        </w:rPr>
        <w:t>(h)</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collateral in an amount satisfactory to Y in its sole discretion.</w:t>
      </w:r>
    </w:p>
    <w:p>
      <w:pPr>
        <w:pStyle w:val="Normal"/>
        <w:spacing w:lineRule="exact" w:line="240" w:before="240" w:after="0"/>
        <w:ind w:firstLine="720" w:end="0"/>
        <w:jc w:val="both"/>
        <w:rPr/>
      </w:pPr>
      <w:r>
        <w:rPr>
          <w:sz w:val="22"/>
        </w:rPr>
        <w:t>(i)</w:t>
      </w:r>
      <w:r>
        <w:rPr>
          <w:b/>
          <w:sz w:val="22"/>
        </w:rPr>
        <w:tab/>
        <w:t>“Contractual Currency”</w:t>
      </w:r>
      <w:r>
        <w:rPr>
          <w:sz w:val="22"/>
        </w:rPr>
        <w:t xml:space="preserve"> unless otherwise specified in a Confirmation, shall mean United States Dollars.</w:t>
      </w:r>
    </w:p>
    <w:p>
      <w:pPr>
        <w:pStyle w:val="Normal"/>
        <w:numPr>
          <w:ilvl w:val="0"/>
          <w:numId w:val="3"/>
        </w:numPr>
        <w:spacing w:lineRule="exact" w:line="240" w:before="240" w:after="0"/>
        <w:jc w:val="both"/>
        <w:rPr>
          <w:sz w:val="22"/>
        </w:rPr>
      </w:pPr>
      <w:r>
        <w:rPr>
          <w:b/>
          <w:bCs/>
          <w:sz w:val="22"/>
        </w:rPr>
        <w:t>“</w:t>
      </w:r>
      <w:r>
        <w:rPr>
          <w:b/>
          <w:bCs/>
          <w:sz w:val="22"/>
        </w:rPr>
        <w:t xml:space="preserve">Additional Termination Event” </w:t>
      </w:r>
      <w:r>
        <w:rPr>
          <w:sz w:val="22"/>
        </w:rPr>
        <w:t>will not apply unless specified in the relevant Confirmation.</w:t>
      </w:r>
    </w:p>
    <w:p>
      <w:pPr>
        <w:pStyle w:val="Normal"/>
        <w:spacing w:lineRule="exact" w:line="240" w:before="240" w:after="0"/>
        <w:ind w:firstLine="720" w:end="0"/>
        <w:jc w:val="both"/>
        <w:rPr/>
      </w:pPr>
      <w:r>
        <w:rPr>
          <w:sz w:val="22"/>
        </w:rPr>
        <w:t>(k)</w:t>
        <w:tab/>
      </w:r>
      <w:r>
        <w:rPr>
          <w:b/>
          <w:bCs/>
          <w:sz w:val="22"/>
        </w:rPr>
        <w:t>Events of Default.</w:t>
      </w:r>
      <w:r>
        <w:rPr>
          <w:sz w:val="22"/>
        </w:rPr>
        <w:t xml:space="preserve">  The following provision shall be inserted as Section 5(a)(vi)(3) of this Agreement:</w:t>
      </w:r>
    </w:p>
    <w:p>
      <w:pPr>
        <w:pStyle w:val="Normal"/>
        <w:spacing w:lineRule="exact" w:line="240" w:before="240" w:after="0"/>
        <w:ind w:start="720" w:end="0"/>
        <w:jc w:val="both"/>
        <w:rPr>
          <w:sz w:val="22"/>
        </w:rPr>
      </w:pPr>
      <w:r>
        <w:rPr>
          <w:sz w:val="22"/>
        </w:rPr>
        <w:t>“</w:t>
      </w:r>
      <w:r>
        <w:rPr>
          <w:sz w:val="22"/>
        </w:rPr>
        <w:t>If an event has occurred under 5(a)(vi)(1) and 5(a)(vi)(2) of this Agreement, which would constitute an Event of Default but for the fact that neither the aggregate amount calculated in respect of 5(a)(vi)(1) nor the aggregate amount calculated in respect of 5(a)(vi)(2) exceeds the Threshold Amount, then the aggregate amount arising under 5(a)(vi)(1) and the aggregate amount arising under 5(a)(vi)(2) shall be construed so as to produce a “Combined Aggregate Amount”.  If the Combined Aggregate Amount exceeds the Threshold Amount, then it shall be a Cross Default.”</w:t>
      </w:r>
    </w:p>
    <w:p>
      <w:pPr>
        <w:pStyle w:val="Normal"/>
        <w:tabs>
          <w:tab w:val="clear" w:pos="720"/>
          <w:tab w:val="left" w:pos="117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sz w:val="22"/>
          <w:szCs w:val="22"/>
        </w:rPr>
        <w:t>"</w:t>
      </w:r>
      <w:r>
        <w:rPr>
          <w:b/>
          <w:bCs/>
          <w:sz w:val="22"/>
          <w:szCs w:val="22"/>
        </w:rPr>
        <w:t>Specified Treaty</w:t>
      </w:r>
      <w:r>
        <w:rPr>
          <w:sz w:val="22"/>
          <w:szCs w:val="22"/>
        </w:rPr>
        <w:t>" means the income tax treaty between the United States and France.</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A, France.</w:t>
      </w:r>
    </w:p>
    <w:p>
      <w:pPr>
        <w:pStyle w:val="Normal"/>
        <w:spacing w:lineRule="exact" w:line="240" w:before="240" w:after="0"/>
        <w:jc w:val="both"/>
        <w:rPr>
          <w:b/>
          <w:bCs/>
          <w:sz w:val="22"/>
          <w:szCs w:val="22"/>
        </w:rPr>
      </w:pPr>
      <w:r>
        <w:rPr>
          <w:sz w:val="22"/>
          <w:szCs w:val="22"/>
        </w:rPr>
        <w:t>"</w:t>
      </w:r>
      <w:r>
        <w:rPr>
          <w:b/>
          <w:bCs/>
          <w:sz w:val="22"/>
          <w:szCs w:val="22"/>
        </w:rPr>
        <w:t>Specified Jurisdiction</w:t>
      </w:r>
      <w:r>
        <w:rPr>
          <w:sz w:val="22"/>
          <w:szCs w:val="22"/>
        </w:rPr>
        <w:t>" means, with respect to Party B, the United States.</w:t>
      </w:r>
    </w:p>
    <w:p>
      <w:pPr>
        <w:pStyle w:val="Normal"/>
        <w:spacing w:lineRule="exact" w:line="480"/>
        <w:jc w:val="both"/>
        <w:rPr>
          <w:b/>
          <w:bCs/>
          <w:sz w:val="22"/>
          <w:szCs w:val="22"/>
        </w:rPr>
      </w:pPr>
      <w:r>
        <w:rPr>
          <w:b/>
          <w:bCs/>
          <w:sz w:val="22"/>
          <w:szCs w:val="22"/>
        </w:rPr>
      </w:r>
    </w:p>
    <w:p>
      <w:pPr>
        <w:pStyle w:val="Normal"/>
        <w:spacing w:lineRule="exact" w:line="480"/>
        <w:jc w:val="both"/>
        <w:rPr>
          <w:b/>
          <w:bCs/>
          <w:sz w:val="22"/>
          <w:szCs w:val="22"/>
        </w:rPr>
      </w:pPr>
      <w:r>
        <w:rPr>
          <w:b/>
          <w:bCs/>
          <w:sz w:val="22"/>
          <w:szCs w:val="22"/>
        </w:rPr>
        <w:t>Part 3.</w:t>
        <w:tab/>
        <w:t>Agreement to Deliver Documents.</w:t>
      </w:r>
    </w:p>
    <w:p>
      <w:pPr>
        <w:pStyle w:val="Normal"/>
        <w:spacing w:lineRule="exact" w:line="240" w:before="240" w:after="0"/>
        <w:jc w:val="both"/>
        <w:rPr>
          <w:sz w:val="22"/>
          <w:szCs w:val="22"/>
        </w:rPr>
      </w:pPr>
      <w:r>
        <w:rPr>
          <w:sz w:val="22"/>
          <w:szCs w:val="22"/>
        </w:rPr>
        <w:t>For the purpose of Section 4(a), each party agrees to deliver the following documents, as applicable:</w:t>
      </w:r>
    </w:p>
    <w:p>
      <w:pPr>
        <w:pStyle w:val="Normal"/>
        <w:spacing w:lineRule="exact" w:line="240" w:before="240" w:after="0"/>
        <w:jc w:val="both"/>
        <w:rPr>
          <w:sz w:val="22"/>
          <w:szCs w:val="22"/>
        </w:rPr>
      </w:pPr>
      <w:r>
        <w:rPr>
          <w:sz w:val="22"/>
          <w:szCs w:val="22"/>
        </w:rPr>
        <w:t>(a)</w:t>
        <w:tab/>
        <w:t>Tax forms, documents, or certificates to be delivered are:</w:t>
      </w:r>
    </w:p>
    <w:p>
      <w:pPr>
        <w:pStyle w:val="Normal"/>
        <w:spacing w:lineRule="exact" w:line="240" w:before="240" w:after="0"/>
        <w:jc w:val="both"/>
        <w:rPr>
          <w:sz w:val="22"/>
          <w:szCs w:val="22"/>
        </w:rPr>
      </w:pPr>
      <w:r>
        <w:rPr>
          <w:sz w:val="22"/>
          <w:szCs w:val="22"/>
        </w:rPr>
        <w:t>Upon reasonable request, each party shall provide the other, as soon as practicable following written demand, a properly completed and executed exemption form, certificate or other document that will allow the other party to make any payment hereunder without deduction or withholding for Taxes, including, but not limited to, the United States Internal Revenue Service Form W</w:t>
        <w:softHyphen/>
        <w:t>-8BEN and/or W-8ECI, or any appropriate successor form.</w:t>
      </w:r>
    </w:p>
    <w:p>
      <w:pPr>
        <w:pStyle w:val="BodyTextIndent2"/>
        <w:widowControl/>
        <w:tabs>
          <w:tab w:val="clear" w:pos="1350"/>
        </w:tabs>
        <w:spacing w:lineRule="exact" w:line="240" w:before="240" w:after="0"/>
        <w:ind w:hanging="0" w:end="0"/>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sz w:val="22"/>
              </w:rPr>
            </w:pPr>
            <w:r>
              <w:rPr>
                <w:b/>
                <w:sz w:val="22"/>
              </w:rPr>
              <w:t>Covered by Section 3(d) Representation</w:t>
              <w:br/>
            </w:r>
          </w:p>
        </w:tc>
      </w:tr>
      <w:tr>
        <w:trPr/>
        <w:tc>
          <w:tcPr>
            <w:tcW w:w="1926" w:type="dxa"/>
            <w:tcBorders/>
          </w:tcPr>
          <w:p>
            <w:pPr>
              <w:pStyle w:val="Normal"/>
              <w:spacing w:lineRule="atLeast" w:line="240" w:before="240" w:after="0"/>
              <w:jc w:val="both"/>
              <w:rPr>
                <w:b/>
                <w:sz w:val="22"/>
              </w:rPr>
            </w:pPr>
            <w:r>
              <w:rPr>
                <w:sz w:val="22"/>
              </w:rPr>
              <w:t>Party A</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by (i) deleting the opening paragraph and replacing it with:  “Any notice or other communication in respect of this Agreement may be given in any manner set forth below (except that a notice or other communication may not be given by electronic messaging system) to the address or number provided (see the Schedule) and will be deemed effective as indicated: -”, (ii) deleting subpart (v) in its entirety and (iii) adding the following sentence at the end thereof:  “All notices or communications sent by facsimile transmission (pursuant to Sections 5 or 6) must be confirmed in writing”.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889" w:type="dxa"/>
        <w:jc w:val="start"/>
        <w:tblInd w:w="0" w:type="dxa"/>
        <w:tblLayout w:type="fixed"/>
        <w:tblCellMar>
          <w:top w:w="0" w:type="dxa"/>
          <w:start w:w="108" w:type="dxa"/>
          <w:bottom w:w="0" w:type="dxa"/>
          <w:end w:w="108" w:type="dxa"/>
        </w:tblCellMar>
      </w:tblPr>
      <w:tblGrid>
        <w:gridCol w:w="2088"/>
        <w:gridCol w:w="4257"/>
        <w:gridCol w:w="3544"/>
      </w:tblGrid>
      <w:tr>
        <w:trPr/>
        <w:tc>
          <w:tcPr>
            <w:tcW w:w="2088" w:type="dxa"/>
            <w:tcBorders/>
          </w:tcPr>
          <w:p>
            <w:pPr>
              <w:pStyle w:val="Normal"/>
              <w:keepNext w:val="true"/>
              <w:tabs>
                <w:tab w:val="clear" w:pos="720"/>
                <w:tab w:val="left" w:pos="2880" w:leader="none"/>
                <w:tab w:val="left" w:pos="4320" w:leader="none"/>
                <w:tab w:val="left" w:pos="9360" w:leader="none"/>
              </w:tabs>
              <w:spacing w:lineRule="exac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exact" w:line="240"/>
              <w:jc w:val="both"/>
              <w:rPr>
                <w:sz w:val="22"/>
              </w:rPr>
            </w:pPr>
            <w:r>
              <w:rPr>
                <w:sz w:val="22"/>
              </w:rPr>
            </w:r>
          </w:p>
          <w:p>
            <w:pPr>
              <w:pStyle w:val="Normal"/>
              <w:keepNext w:val="true"/>
              <w:tabs>
                <w:tab w:val="clear" w:pos="720"/>
                <w:tab w:val="left" w:pos="2880" w:leader="none"/>
                <w:tab w:val="left" w:pos="9360" w:leader="none"/>
              </w:tabs>
              <w:spacing w:lineRule="exact" w:line="240"/>
              <w:jc w:val="both"/>
              <w:rPr>
                <w:sz w:val="22"/>
              </w:rPr>
            </w:pPr>
            <w:r>
              <w:rPr>
                <w:sz w:val="22"/>
              </w:rPr>
            </w:r>
          </w:p>
          <w:p>
            <w:pPr>
              <w:pStyle w:val="Normal"/>
              <w:keepNext w:val="true"/>
              <w:tabs>
                <w:tab w:val="clear" w:pos="720"/>
                <w:tab w:val="left" w:pos="2880" w:leader="none"/>
                <w:tab w:val="left" w:pos="9360" w:leader="none"/>
              </w:tabs>
              <w:spacing w:lineRule="exac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exac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257" w:type="dxa"/>
            <w:tcBorders/>
          </w:tcPr>
          <w:p>
            <w:pPr>
              <w:pStyle w:val="BodyText"/>
              <w:widowControl/>
              <w:tabs>
                <w:tab w:val="clear" w:pos="720"/>
                <w:tab w:val="left" w:pos="4230" w:leader="none"/>
                <w:tab w:val="left" w:pos="9360" w:leader="none"/>
              </w:tabs>
              <w:spacing w:lineRule="exact" w:line="240"/>
              <w:rPr/>
            </w:pPr>
            <w:r>
              <w:rPr/>
              <w:t>Enron Capital &amp; Trade Resources International Corp.</w:t>
            </w:r>
          </w:p>
          <w:p>
            <w:pPr>
              <w:pStyle w:val="Justified"/>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c/o Enron Europe Finance &amp; Trading Limited</w:t>
            </w:r>
          </w:p>
          <w:p>
            <w:pPr>
              <w:pStyle w:val="Normal"/>
              <w:tabs>
                <w:tab w:val="clear" w:pos="720"/>
                <w:tab w:val="left" w:pos="4230" w:leader="none"/>
                <w:tab w:val="left" w:pos="9360" w:leader="none"/>
              </w:tabs>
              <w:spacing w:lineRule="exact" w:line="240"/>
              <w:jc w:val="both"/>
              <w:rPr>
                <w:sz w:val="22"/>
              </w:rPr>
            </w:pPr>
            <w:r>
              <w:rPr>
                <w:sz w:val="22"/>
              </w:rPr>
              <w:t>Enron House</w:t>
            </w:r>
          </w:p>
          <w:p>
            <w:pPr>
              <w:pStyle w:val="Normal"/>
              <w:tabs>
                <w:tab w:val="clear" w:pos="720"/>
                <w:tab w:val="left" w:pos="4230" w:leader="none"/>
                <w:tab w:val="left" w:pos="9360" w:leader="none"/>
              </w:tabs>
              <w:spacing w:lineRule="exact" w:line="240"/>
              <w:jc w:val="both"/>
              <w:rPr>
                <w:sz w:val="22"/>
              </w:rPr>
            </w:pPr>
            <w:r>
              <w:rPr>
                <w:sz w:val="22"/>
              </w:rPr>
              <w:t>40 Grosvenor Place</w:t>
            </w:r>
          </w:p>
          <w:p>
            <w:pPr>
              <w:pStyle w:val="Normal"/>
              <w:tabs>
                <w:tab w:val="clear" w:pos="720"/>
                <w:tab w:val="left" w:pos="4230" w:leader="none"/>
                <w:tab w:val="left" w:pos="9360" w:leader="none"/>
              </w:tabs>
              <w:spacing w:lineRule="exact" w:line="240"/>
              <w:jc w:val="both"/>
              <w:rPr>
                <w:sz w:val="22"/>
              </w:rPr>
            </w:pPr>
            <w:r>
              <w:rPr>
                <w:sz w:val="22"/>
              </w:rPr>
              <w:t>London  SW1X 7EN</w:t>
            </w:r>
          </w:p>
          <w:p>
            <w:pPr>
              <w:pStyle w:val="Justified"/>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544"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44 207 783 8917</w:t>
            </w:r>
          </w:p>
          <w:p>
            <w:pPr>
              <w:pStyle w:val="Normal"/>
              <w:tabs>
                <w:tab w:val="clear" w:pos="720"/>
                <w:tab w:val="left" w:pos="4230" w:leader="none"/>
                <w:tab w:val="left" w:pos="9360" w:leader="none"/>
              </w:tabs>
              <w:spacing w:lineRule="exact" w:line="240"/>
              <w:ind w:start="72" w:end="0"/>
              <w:jc w:val="both"/>
              <w:rPr>
                <w:sz w:val="22"/>
              </w:rPr>
            </w:pPr>
            <w:r>
              <w:rPr>
                <w:sz w:val="22"/>
              </w:rPr>
              <w:t>Telephone No.:  44 207 783 0000</w:t>
            </w:r>
          </w:p>
        </w:tc>
      </w:tr>
    </w:tbl>
    <w:p>
      <w:pPr>
        <w:pStyle w:val="Normal"/>
        <w:tabs>
          <w:tab w:val="clear" w:pos="720"/>
          <w:tab w:val="right" w:pos="9360" w:leader="dot"/>
        </w:tabs>
        <w:spacing w:lineRule="exact" w:line="240" w:before="240" w:after="0"/>
        <w:jc w:val="both"/>
        <w:rPr>
          <w:sz w:val="22"/>
        </w:rPr>
      </w:pPr>
      <w:r>
        <w:rPr>
          <w:sz w:val="22"/>
        </w:rPr>
        <w:t>A copy of any notice sent to Party A pursuant to Section 5 or 6 must also be sent to (i) Enron North America Corp., Attention:  Corporate Secretary at P.O. Box 4428, Houston, Texas  77210-4428 (Street address: 1400 Smith Street, Houston, Texas  77002)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r>
        <w:br w:type="page"/>
      </w:r>
    </w:p>
    <w:p>
      <w:pPr>
        <w:pStyle w:val="Justified"/>
        <w:widowControl/>
        <w:tabs>
          <w:tab w:val="left" w:pos="720" w:leader="none"/>
          <w:tab w:val="right" w:pos="9360" w:leader="dot"/>
        </w:tabs>
        <w:spacing w:lineRule="exact" w:line="240" w:before="0" w:after="0"/>
        <w:rPr>
          <w:rFonts w:ascii="Times New Roman" w:hAnsi="Times New Roman" w:cs="Times New Roman"/>
        </w:rPr>
      </w:pPr>
      <w:r>
        <w:rPr>
          <w:rFonts w:cs="Times New Roman" w:ascii="Times New Roman" w:hAnsi="Times New Roman"/>
        </w:rPr>
        <w:t>Address for notices or communications to Party B (which are not for the purposes of Sections 5 and 6 of this Agreement):</w:t>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SITA</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132 rue des Trois Fontanot</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92758 Nanterre</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Cedex France</w:t>
            </w:r>
          </w:p>
          <w:p>
            <w:pPr>
              <w:pStyle w:val="Normal"/>
              <w:keepNext w:val="true"/>
              <w:tabs>
                <w:tab w:val="clear" w:pos="720"/>
                <w:tab w:val="left" w:pos="3762" w:leader="none"/>
                <w:tab w:val="left" w:pos="4230" w:leader="none"/>
                <w:tab w:val="left" w:pos="9360" w:leader="none"/>
              </w:tabs>
              <w:spacing w:lineRule="exact" w:line="240"/>
              <w:rPr>
                <w:sz w:val="22"/>
              </w:rPr>
            </w:pPr>
            <w:r>
              <w:rPr>
                <w:sz w:val="22"/>
              </w:rPr>
              <w:t>Attn.: Philippe Dessain</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Facsimile No.:  33 1 42 91 68 81</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Telephone No.:  01 42 91 67 37</w:t>
            </w:r>
          </w:p>
        </w:tc>
      </w:tr>
    </w:tbl>
    <w:p>
      <w:pPr>
        <w:pStyle w:val="Normal"/>
        <w:tabs>
          <w:tab w:val="left" w:pos="720" w:leader="none"/>
          <w:tab w:val="left" w:pos="1440" w:leader="none"/>
          <w:tab w:val="left" w:pos="5472" w:leader="dot"/>
          <w:tab w:val="right" w:pos="9360" w:leader="dot"/>
        </w:tabs>
        <w:spacing w:lineRule="exact" w:line="240" w:before="240" w:after="0"/>
        <w:jc w:val="both"/>
        <w:rPr>
          <w:sz w:val="22"/>
        </w:rPr>
      </w:pPr>
      <w:r>
        <w:rPr>
          <w:sz w:val="22"/>
        </w:rPr>
        <w:t>A copy of any notice sent to Party B pursuant to Section 5 or 6 must only be sent to SITA, 132 rue des Trois Fontanot, 92758 Nanterre, Cedex France, Attn.:  Mrs. Steinmetz, facsimile no. 00 33 1 42 91 68 62, telephone no. 00 33 1 42 91 63 86.</w:t>
      </w:r>
    </w:p>
    <w:p>
      <w:pPr>
        <w:pStyle w:val="Normal"/>
        <w:tabs>
          <w:tab w:val="left" w:pos="720" w:leader="none"/>
          <w:tab w:val="left" w:pos="1440" w:leader="none"/>
          <w:tab w:val="left" w:pos="5472" w:leader="dot"/>
          <w:tab w:val="right" w:pos="9360" w:leader="dot"/>
        </w:tabs>
        <w:spacing w:lineRule="exact" w:line="240" w:before="240" w:after="0"/>
        <w:jc w:val="both"/>
        <w:rPr>
          <w:sz w:val="22"/>
        </w:rPr>
      </w:pPr>
      <w:r>
        <w:rPr>
          <w:sz w:val="22"/>
        </w:rPr>
        <w:t>All notices or communications sent by facsimile must be confirmed in writing.</w:t>
      </w:r>
    </w:p>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Guaranty dated as of the date hereof by Enron Corp. in favor of Party B as beneficiary thereof in the form attached hereto as </w:t>
      </w:r>
      <w:r>
        <w:rPr>
          <w:sz w:val="22"/>
          <w:u w:val="single"/>
        </w:rPr>
        <w:t>Exhibit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laws of England and Wales.</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tabs>
          <w:tab w:val="left" w:pos="720" w:leader="none"/>
        </w:tabs>
        <w:spacing w:lineRule="exact" w:line="240" w:before="240" w:after="0"/>
        <w:ind w:firstLine="720" w:start="720" w:end="0"/>
        <w:jc w:val="both"/>
        <w:rPr/>
      </w:pPr>
      <w:r>
        <w:rPr>
          <w:sz w:val="22"/>
        </w:rPr>
        <w:t>(b)</w:t>
        <w:tab/>
      </w:r>
      <w:r>
        <w:rPr>
          <w:b/>
          <w:sz w:val="22"/>
        </w:rPr>
        <w:t xml:space="preserve">Jurisdiction. </w:t>
      </w:r>
      <w:r>
        <w:rPr>
          <w:sz w:val="22"/>
        </w:rPr>
        <w:t xml:space="preserve"> Each of the parties irrevocably submits to the jurisdiction of English courts over any suit, action or proceeding arising out of or relating to this Agreement (“Proceedings”).  Each of the parties hereto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such party.</w:t>
      </w:r>
    </w:p>
    <w:p>
      <w:pPr>
        <w:pStyle w:val="Normal"/>
        <w:spacing w:lineRule="exact" w:line="240" w:before="240" w:after="0"/>
        <w:ind w:firstLine="720" w:end="0"/>
        <w:jc w:val="both"/>
        <w:rPr/>
      </w:pPr>
      <w:r>
        <w:rPr>
          <w:sz w:val="22"/>
        </w:rPr>
        <w:t>(i)</w:t>
        <w:tab/>
      </w:r>
      <w:r>
        <w:rPr>
          <w:b/>
          <w:sz w:val="22"/>
        </w:rPr>
        <w:t>Process Agent.</w:t>
      </w:r>
      <w:r>
        <w:rPr>
          <w:sz w:val="22"/>
        </w:rPr>
        <w:t xml:space="preserve"> For the purpose of Section 13(c):  Party A appoints as its Process Agent, Enron Europe Finance &amp; Trading Limited, Enron House, 40 Grosvenor Place, London  SW1X 7EN; Party B appoints as its Process Agent, SITA Holding U.K. Limited, The Pickeridge, Stoke Common Road, Fulmer, Buckinghamshire SL3 6HA U.K.</w:t>
      </w:r>
    </w:p>
    <w:p>
      <w:pPr>
        <w:pStyle w:val="Normal"/>
        <w:spacing w:lineRule="exact" w:line="240" w:before="480" w:after="0"/>
        <w:jc w:val="both"/>
        <w:rPr/>
      </w:pPr>
      <w:r>
        <w:rPr>
          <w:b/>
          <w:sz w:val="22"/>
        </w:rPr>
        <w:tab/>
      </w:r>
      <w:r>
        <w:rPr>
          <w:bCs/>
          <w:sz w:val="22"/>
        </w:rPr>
        <w:t>(j)</w:t>
        <w:tab/>
      </w:r>
      <w:r>
        <w:rPr>
          <w:b/>
          <w:sz w:val="22"/>
        </w:rPr>
        <w:t>“Affiliate”</w:t>
      </w:r>
      <w:r>
        <w:rPr>
          <w:bCs/>
          <w:sz w:val="22"/>
        </w:rPr>
        <w:t xml:space="preserve"> will have the meaning specified in Section 14 of this Agreement.</w:t>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Setoff.</w:t>
      </w:r>
      <w:r>
        <w:rPr>
          <w:sz w:val="22"/>
        </w:rPr>
        <w:t xml:space="preserve">  (A) The following proviso shall be added as Section 6(f):</w:t>
      </w:r>
    </w:p>
    <w:p>
      <w:pPr>
        <w:pStyle w:val="Normal"/>
        <w:spacing w:lineRule="exact" w:line="240" w:before="240" w:after="0"/>
        <w:ind w:start="720" w:end="0"/>
        <w:jc w:val="both"/>
        <w:rPr>
          <w:sz w:val="22"/>
        </w:rPr>
      </w:pPr>
      <w:r>
        <w:rPr>
          <w:sz w:val="22"/>
        </w:rPr>
        <w:t>In addition to any rights of set-off a party may have as a matter of law or otherwise, if that party (the “Payer”) is obliged to pay an amount (the “Early Termination Amount”) under Section 6(e) to the other party (the “Payee”) as a result of an Event of Default where the Payee is the Defaulting Party or an Illegality or Credit Event Upon Merger where the Payee is the sole Affected Party, the Payer will have the right (but will not be obliged) without prior notice to the Payee or any other person to set off any obligation owing by the Payee to the Payer (whether matured or unmatured, whether absolute or contingent and irrespective of the currency, place of payment or booking office of the obligation) against any obligation owing by the Payer to the Payee (whether matured or unmatured, whether absolute or contingent and irrespective of the currency, place of payment or booking office of the obligation) under this Agreement or otherwise.</w:t>
      </w:r>
    </w:p>
    <w:p>
      <w:pPr>
        <w:pStyle w:val="Normal"/>
        <w:spacing w:lineRule="exact" w:line="240" w:before="240" w:after="0"/>
        <w:ind w:start="720" w:end="0"/>
        <w:jc w:val="both"/>
        <w:rPr>
          <w:sz w:val="22"/>
        </w:rPr>
      </w:pPr>
      <w:r>
        <w:rPr>
          <w:sz w:val="22"/>
        </w:rPr>
        <w:t>For the purposes of cross-currency set-off, the Payer may convert any obligation into another currency at a market exchange rate determined by the Payer.</w:t>
      </w:r>
    </w:p>
    <w:p>
      <w:pPr>
        <w:pStyle w:val="Normal"/>
        <w:spacing w:lineRule="exact" w:line="240" w:before="240" w:after="0"/>
        <w:ind w:start="720" w:end="0"/>
        <w:jc w:val="both"/>
        <w:rPr>
          <w:sz w:val="22"/>
        </w:rPr>
      </w:pPr>
      <w:r>
        <w:rPr>
          <w:sz w:val="22"/>
        </w:rPr>
        <w:t>If an obligation is unascertained, the Payer may in good faith estimate that the obligation and set-off in respect of the estimate, subject to the relevant party accounting to the other when the obligation is ascertained.</w:t>
      </w:r>
    </w:p>
    <w:p>
      <w:pPr>
        <w:pStyle w:val="Normal"/>
        <w:spacing w:lineRule="exact" w:line="240" w:before="240" w:after="0"/>
        <w:ind w:start="720" w:end="0"/>
        <w:jc w:val="both"/>
        <w:rPr>
          <w:sz w:val="22"/>
        </w:rPr>
      </w:pPr>
      <w:r>
        <w:rPr>
          <w:sz w:val="22"/>
        </w:rPr>
        <w:t>Nothing in this Section will be effective to create a charge or other security interest.</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sz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(j)</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t>“</w:t>
      </w:r>
      <w:r>
        <w:rPr>
          <w:sz w:val="22"/>
        </w:rPr>
        <w:t>(c) Party A may transfer its rights and obligations under this Agreement, in whole but not in part, to any Affiliate located in the same tax jurisdiction as Party A so long as the obligations of such Affiliate are guaranteed by Enron Corp. pursuant to a guaranty substantially similar to the one provided on behalf of Party A, provided that such transfer will not give rise to a Termination Event or an Event of Default.”</w:t>
      </w:r>
    </w:p>
    <w:p>
      <w:pPr>
        <w:pStyle w:val="Norma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rPr>
        <w:t>(m)</w:t>
        <w:tab/>
      </w:r>
      <w:r>
        <w:rPr>
          <w:b/>
          <w:sz w:val="22"/>
        </w:rPr>
        <w:t>Escrow.</w:t>
      </w:r>
      <w:r>
        <w:rPr>
          <w:sz w:val="22"/>
        </w:rPr>
        <w: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p>
    <w:p>
      <w:pPr>
        <w:pStyle w:val="Justified"/>
        <w:widowControl/>
        <w:spacing w:lineRule="exact" w:line="240" w:before="0" w:after="0"/>
        <w:rPr>
          <w:rFonts w:ascii="Times New Roman" w:hAnsi="Times New Roman" w:cs="Times New Roman"/>
          <w:sz w:val="22"/>
        </w:rPr>
      </w:pPr>
      <w:r>
        <w:rPr>
          <w:rFonts w:cs="Times New Roman" w:ascii="Times New Roman" w:hAnsi="Times New Roman"/>
          <w:sz w:val="22"/>
        </w:rPr>
      </w:r>
    </w:p>
    <w:p>
      <w:pPr>
        <w:pStyle w:val="BodyText"/>
        <w:widowControl/>
        <w:ind w:firstLine="720" w:end="0"/>
        <w:jc w:val="both"/>
        <w:rPr/>
      </w:pPr>
      <w:r>
        <w:rPr/>
        <w:t>(n)</w:t>
        <w:tab/>
      </w:r>
      <w:r>
        <w:rPr>
          <w:b/>
        </w:rPr>
        <w:t>European Monetary Union.</w:t>
      </w:r>
      <w:r>
        <w:rPr/>
        <w:t xml:space="preserve">  The definitions and provisions of Annexes 1 to 5 (inclusive) and Section 6 of the EMU Protocol, published by ISDA on May 6, 1998, are hereby incorporated in this Agreement.  References in those definitions and provisions to any “ISDA” Master Agreement will be deemed to be references to this Agreement.</w:t>
      </w:r>
    </w:p>
    <w:p>
      <w:pPr>
        <w:pStyle w:val="BodyText"/>
        <w:widowControl/>
        <w:ind w:firstLine="720" w:end="0"/>
        <w:jc w:val="both"/>
        <w:rPr/>
      </w:pPr>
      <w:r>
        <w:rPr/>
      </w:r>
    </w:p>
    <w:p>
      <w:pPr>
        <w:pStyle w:val="BodyText"/>
        <w:widowControl/>
        <w:ind w:firstLine="720" w:end="0"/>
        <w:jc w:val="both"/>
        <w:rPr/>
      </w:pPr>
      <w:r>
        <w:rPr/>
        <w:t>(o)</w:t>
        <w:tab/>
      </w:r>
      <w:r>
        <w:rPr>
          <w:b/>
          <w:bCs/>
        </w:rPr>
        <w:t>Scope of Agreement.</w:t>
      </w:r>
      <w:r>
        <w:rPr/>
        <w:t xml:space="preserve">  Notwithstanding anything contained in the Agreement to the contrary, if the parties enter into, or have entered into, any Specified Transaction, such Specified Transaction shall be subject to, governed by and construed in accordance with the terms of this Agreement unless the Confirmation relating thereto shall specifically state to the contrary.  Each such Specified Transaction shall be a Transaction for the purposes of this Agreement.</w:t>
      </w:r>
    </w:p>
    <w:p>
      <w:pPr>
        <w:pStyle w:val="BodyText"/>
        <w:widowControl/>
        <w:ind w:firstLine="720" w:end="0"/>
        <w:jc w:val="both"/>
        <w:rPr/>
      </w:pPr>
      <w:r>
        <w:rPr/>
      </w:r>
    </w:p>
    <w:p>
      <w:pPr>
        <w:pStyle w:val="BodyText"/>
        <w:widowControl/>
        <w:ind w:firstLine="720" w:end="0"/>
        <w:jc w:val="both"/>
        <w:rPr/>
      </w:pPr>
      <w:r>
        <w:rPr/>
        <w:t>(p)</w:t>
        <w:tab/>
      </w:r>
      <w:r>
        <w:rPr>
          <w:b/>
          <w:bCs/>
        </w:rPr>
        <w:t>Administrative Errors and Omissions.</w:t>
      </w:r>
      <w:r>
        <w:rPr/>
        <w:t xml:space="preserve">  The following proviso shall be inserted at the end of Section 5(a)(vi) of this Agreement:</w:t>
      </w:r>
    </w:p>
    <w:p>
      <w:pPr>
        <w:pStyle w:val="BodyText"/>
        <w:widowControl/>
        <w:ind w:firstLine="720" w:end="0"/>
        <w:jc w:val="both"/>
        <w:rPr/>
      </w:pPr>
      <w:r>
        <w:rPr/>
      </w:r>
    </w:p>
    <w:p>
      <w:pPr>
        <w:pStyle w:val="BodyText"/>
        <w:widowControl/>
        <w:ind w:start="720" w:end="0"/>
        <w:jc w:val="both"/>
        <w:rPr/>
      </w:pPr>
      <w:r>
        <w:rPr/>
        <w:t>“</w:t>
      </w:r>
      <w:r>
        <w:rPr/>
        <w:t>provided, however, that notwithstanding the foregoing, an Event of Default shall not occur under either (1) or (2) above if the event or condition referred to in (1) or the failure to pay referred to in (2) is a failure to pay caused by an error or omission of an administrative or operational nature and funds were available to such party to enable it to make the relevant payment when due, provided that such error or omission is remedied within three (3) Business Days of such notice being received.”</w:t>
      </w:r>
    </w:p>
    <w:p>
      <w:pPr>
        <w:pStyle w:val="BodyText"/>
        <w:widowControl/>
        <w:jc w:val="both"/>
        <w:rPr/>
      </w:pPr>
      <w:r>
        <w:rPr/>
      </w:r>
    </w:p>
    <w:p>
      <w:pPr>
        <w:pStyle w:val="BodyText"/>
        <w:widowControl/>
        <w:jc w:val="both"/>
        <w:rPr>
          <w:b/>
        </w:rPr>
      </w:pPr>
      <w:r>
        <w:rPr>
          <w:b/>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rPr>
      </w:pPr>
      <w:r>
        <w:rPr>
          <w:rFonts w:cs="Times New Roman" w:ascii="Times New Roman" w:hAnsi="Times New Roman"/>
          <w:b/>
        </w:rPr>
      </w:r>
    </w:p>
    <w:p>
      <w:pPr>
        <w:pStyle w:val="Normal"/>
        <w:ind w:firstLine="720" w:end="0"/>
        <w:jc w:val="both"/>
        <w:rPr>
          <w:sz w:val="22"/>
        </w:rPr>
      </w:pPr>
      <w:r>
        <w:rPr>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Normal"/>
        <w:ind w:firstLine="720" w:start="1440" w:end="720"/>
        <w:jc w:val="both"/>
        <w:rPr>
          <w:sz w:val="22"/>
        </w:rPr>
      </w:pPr>
      <w:r>
        <w:rPr>
          <w:sz w:val="22"/>
        </w:rPr>
        <w:t>(i)</w:t>
        <w:tab/>
        <w:t>“Postponement”, with three (3) Commodity Business Days as the Maximum Days of Disruption;</w:t>
      </w:r>
    </w:p>
    <w:p>
      <w:pPr>
        <w:pStyle w:val="Normal"/>
        <w:ind w:firstLine="720" w:start="1440" w:end="720"/>
        <w:jc w:val="both"/>
        <w:rPr>
          <w:sz w:val="22"/>
        </w:rPr>
      </w:pPr>
      <w:r>
        <w:rPr>
          <w:sz w:val="22"/>
        </w:rPr>
      </w:r>
    </w:p>
    <w:p>
      <w:pPr>
        <w:pStyle w:val="Normal"/>
        <w:ind w:firstLine="720" w:start="1440" w:end="720"/>
        <w:jc w:val="both"/>
        <w:rPr>
          <w:sz w:val="22"/>
        </w:rPr>
      </w:pPr>
      <w:r>
        <w:rPr>
          <w:sz w:val="22"/>
        </w:rPr>
        <w:t>(ii)</w:t>
        <w:tab/>
        <w:t>“Fallback Reference Price” (if the relevant parties have specified an alternate Commodity Reference Price in the Confirmation);</w:t>
      </w:r>
    </w:p>
    <w:p>
      <w:pPr>
        <w:pStyle w:val="Normal"/>
        <w:ind w:firstLine="720" w:start="1440" w:end="720"/>
        <w:jc w:val="both"/>
        <w:rPr>
          <w:sz w:val="22"/>
        </w:rPr>
      </w:pPr>
      <w:r>
        <w:rPr>
          <w:sz w:val="22"/>
        </w:rPr>
      </w:r>
    </w:p>
    <w:p>
      <w:pPr>
        <w:pStyle w:val="Normal"/>
        <w:ind w:firstLine="720" w:start="1440" w:end="720"/>
        <w:jc w:val="both"/>
        <w:rPr>
          <w:sz w:val="22"/>
        </w:rPr>
      </w:pPr>
      <w:r>
        <w:rPr>
          <w:sz w:val="22"/>
        </w:rPr>
        <w:t>(iii)</w:t>
        <w:tab/>
        <w:t>“Negotiated Fallback” (provided that the reference in Section 7.5(c)(ii) to “fifth Business Day” shall be amended to be “twelfth Business Day”); and</w:t>
      </w:r>
    </w:p>
    <w:p>
      <w:pPr>
        <w:pStyle w:val="Normal"/>
        <w:ind w:firstLine="720" w:start="1440" w:end="720"/>
        <w:jc w:val="both"/>
        <w:rPr>
          <w:sz w:val="22"/>
        </w:rPr>
      </w:pPr>
      <w:r>
        <w:rPr>
          <w:sz w:val="22"/>
        </w:rPr>
      </w:r>
    </w:p>
    <w:p>
      <w:pPr>
        <w:pStyle w:val="Normal"/>
        <w:ind w:start="1440" w:end="0"/>
        <w:jc w:val="both"/>
        <w:rPr>
          <w:sz w:val="22"/>
        </w:rPr>
      </w:pPr>
      <w:r>
        <w:rPr>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jc w:val="both"/>
        <w:rPr>
          <w:sz w:val="22"/>
        </w:rPr>
      </w:pPr>
      <w:r>
        <w:rPr>
          <w:sz w:val="22"/>
        </w:rPr>
      </w:r>
    </w:p>
    <w:p>
      <w:pPr>
        <w:pStyle w:val="Normal"/>
        <w:ind w:firstLine="720" w:end="0"/>
        <w:jc w:val="both"/>
        <w:rPr/>
      </w:pPr>
      <w:r>
        <w:rPr>
          <w:sz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rPr>
        <w:t>."</w:t>
      </w:r>
    </w:p>
    <w:p>
      <w:pPr>
        <w:pStyle w:val="Header"/>
        <w:widowControl/>
        <w:rPr>
          <w:color w:val="000000"/>
          <w:sz w:val="22"/>
        </w:rPr>
      </w:pPr>
      <w:r>
        <w:rPr>
          <w:color w:val="000000"/>
          <w:sz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rPr>
                <w:color w:val="FF0000"/>
                <w:sz w:val="22"/>
              </w:rPr>
            </w:pPr>
            <w:r>
              <w:rPr>
                <w:b/>
                <w:sz w:val="22"/>
              </w:rPr>
              <w:t>ENRON CAPITAL &amp; TRADE RESOUCES INTERNATIONAL CORP.</w:t>
            </w:r>
          </w:p>
          <w:p>
            <w:pPr>
              <w:pStyle w:val="Normal"/>
              <w:keepNext w:val="true"/>
              <w:spacing w:lineRule="exact" w:line="240"/>
              <w:jc w:val="both"/>
              <w:rPr>
                <w:color w:val="FF0000"/>
                <w:sz w:val="22"/>
              </w:rPr>
            </w:pPr>
            <w:r>
              <w:rPr>
                <w:color w:val="FF0000"/>
                <w:sz w:val="22"/>
              </w:rPr>
            </w:r>
          </w:p>
          <w:p>
            <w:pPr>
              <w:pStyle w:val="Normal"/>
              <w:keepNext w:val="true"/>
              <w:spacing w:lineRule="exact" w:line="240"/>
              <w:jc w:val="both"/>
              <w:rPr>
                <w:sz w:val="22"/>
                <w:u w:val="single"/>
              </w:rPr>
            </w:pPr>
            <w:r>
              <w:rPr>
                <w:sz w:val="22"/>
              </w:rPr>
              <w:t>By:</w:t>
              <w:tab/>
              <w:t>Enron Europe Finance &amp; Trading Limited</w:t>
            </w:r>
          </w:p>
          <w:p>
            <w:pPr>
              <w:pStyle w:val="Normal"/>
              <w:keepNext w:val="true"/>
              <w:spacing w:lineRule="exact" w:line="240"/>
              <w:jc w:val="both"/>
              <w:rPr>
                <w:sz w:val="22"/>
                <w:u w:val="single"/>
              </w:rPr>
            </w:pPr>
            <w:r>
              <w:rPr>
                <w:sz w:val="22"/>
                <w:u w:val="single"/>
              </w:rPr>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b/>
                <w:sz w:val="22"/>
              </w:rPr>
            </w:pPr>
            <w:r>
              <w:rPr>
                <w:b/>
                <w:sz w:val="22"/>
              </w:rPr>
              <w:t>SITA</w:t>
            </w:r>
          </w:p>
          <w:p>
            <w:pPr>
              <w:pStyle w:val="Normal"/>
              <w:keepNext w:val="true"/>
              <w:spacing w:lineRule="exact" w:line="240"/>
              <w:jc w:val="both"/>
              <w:rPr>
                <w:b/>
                <w:sz w:val="22"/>
              </w:rPr>
            </w:pPr>
            <w:r>
              <w:rPr>
                <w:b/>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u w:val="single"/>
              </w:rPr>
            </w:pPr>
            <w:r>
              <w:rPr>
                <w:sz w:val="22"/>
                <w:u w:val="single"/>
              </w:rPr>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700" w:leader="none"/>
        </w:tabs>
        <w:spacing w:lineRule="exact" w:line="24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r>
    </w:p>
    <w:p>
      <w:pPr>
        <w:pStyle w:val="Normal"/>
        <w:ind w:end="180"/>
        <w:jc w:val="center"/>
        <w:rPr>
          <w:b/>
          <w:bCs/>
          <w:sz w:val="22"/>
          <w:szCs w:val="22"/>
          <w:u w:val="single"/>
        </w:rPr>
      </w:pPr>
      <w:r>
        <w:rPr>
          <w:b/>
          <w:bCs/>
          <w:sz w:val="22"/>
          <w:szCs w:val="22"/>
          <w:u w:val="single"/>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2000,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BodyTextIndent"/>
        <w:rPr/>
      </w:pPr>
      <w:r>
        <w:rPr/>
        <w:t xml:space="preserve">WHEREAS, SITA, a company organized under the laws of France (“Counterparty”), and ENRON CAPTIAL &amp; TRADE RESOURCES INTERNATIONAL CORP.(“Enron”),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numPr>
          <w:ilvl w:val="0"/>
          <w:numId w:val="2"/>
        </w:numPr>
        <w:spacing w:before="240" w:after="0"/>
        <w:rPr/>
      </w:pPr>
      <w:r>
        <w:rPr/>
        <w:t>The aggregate amount covered by this Guaranty shall not exceed U.S. $15,000,000.</w:t>
      </w:r>
    </w:p>
    <w:p>
      <w:pPr>
        <w:pStyle w:val="BodyTextIndent3"/>
        <w:numPr>
          <w:ilvl w:val="0"/>
          <w:numId w:val="2"/>
        </w:numPr>
        <w:spacing w:before="240" w:after="0"/>
        <w:rPr/>
      </w:pPr>
      <w:r>
        <w:rPr/>
        <w:t>The Guarantor’s obligations under this Guaranty shall not be affected by:</w:t>
      </w:r>
    </w:p>
    <w:p>
      <w:pPr>
        <w:pStyle w:val="BodyTextIndent3"/>
        <w:numPr>
          <w:ilvl w:val="1"/>
          <w:numId w:val="2"/>
        </w:numPr>
        <w:spacing w:before="240" w:after="0"/>
        <w:rPr/>
      </w:pPr>
      <w:r>
        <w:rPr/>
        <w:t>any of the obligations and liabilities owed by Enron to the Counterparty now or in the future becoming illegal, invalid, unenforceable or ineffective; and</w:t>
      </w:r>
    </w:p>
    <w:p>
      <w:pPr>
        <w:pStyle w:val="BodyTextIndent3"/>
        <w:numPr>
          <w:ilvl w:val="1"/>
          <w:numId w:val="2"/>
        </w:numPr>
        <w:spacing w:before="240" w:after="0"/>
        <w:rPr/>
      </w:pPr>
      <w:r>
        <w:rPr/>
        <w:t>any other act or event which but for this clause c(i), might operate to discharge the Guarantor’s obligations under this Guaranty.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legally binding and enforceable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SITA</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132 rue des Trois Fontanot</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92758 Nanterre</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Cedex France</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rPr>
              <w:t>Attn.:  Philippe Dessain</w:t>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No.:  33 1 42 91 68 81</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PROCESS AGENT</w:t>
      </w:r>
      <w:r>
        <w:rPr>
          <w:sz w:val="22"/>
          <w:szCs w:val="22"/>
        </w:rPr>
        <w:t>.  For the purpose of this Guaranty, the Guarantor appoints as its Process Agent, Enron Europe Finance &amp; Trading  Limited, Enron House, 40 Grosvenor Place, London SW1X 7EN.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9.  </w:t>
      </w:r>
      <w:r>
        <w:rPr>
          <w:sz w:val="22"/>
          <w:szCs w:val="22"/>
          <w:u w:val="single"/>
        </w:rPr>
        <w:t>MISCELLANEOUS</w:t>
      </w:r>
      <w:r>
        <w:rPr>
          <w:sz w:val="22"/>
          <w:szCs w:val="22"/>
        </w:rPr>
        <w:t>.  This Guaranty shall in all respects be governed by, and construed in accordance with, the laws of England, and Guarantor and Counterparty agree to submit to the exclusive jurisdiction of the High Court of Justice, England, in respect of any matter arising under this Guaranty and waive any claim that any proceedings brought in such courts in respect of any matter arising under this Guaranty have been brought in an inconvenient forum.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2000,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tab/>
      </w:r>
    </w:p>
    <w:sectPr>
      <w:headerReference w:type="default" r:id="rId4"/>
      <w:headerReference w:type="first" r:id="rId5"/>
      <w:footerReference w:type="default" r:id="rId6"/>
      <w:footerReference w:type="first" r:id="rId7"/>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fldChar w:fldCharType="begin"/>
    </w:r>
    <w:r>
      <w:rPr>
        <w:sz w:val="12"/>
      </w:rPr>
      <w:instrText xml:space="preserve"> FILENAME \p </w:instrText>
    </w:r>
    <w:r>
      <w:rPr>
        <w:sz w:val="12"/>
      </w:rPr>
      <w:fldChar w:fldCharType="separate"/>
    </w:r>
    <w:r>
      <w:rPr>
        <w:sz w:val="12"/>
      </w:rPr>
      <w:t>/mnt/main-storage/datasets/enron-docs/doc/028Cctr_SITA_.doc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fldChar w:fldCharType="begin"/>
    </w:r>
    <w:r>
      <w:rPr>
        <w:sz w:val="12"/>
      </w:rPr>
      <w:instrText xml:space="preserve"> FILENAME \p </w:instrText>
    </w:r>
    <w:r>
      <w:rPr>
        <w:sz w:val="12"/>
      </w:rPr>
      <w:fldChar w:fldCharType="separate"/>
    </w:r>
    <w:r>
      <w:rPr>
        <w:sz w:val="12"/>
      </w:rPr>
      <w:t>/mnt/main-storage/datasets/enron-docs/doc/028Cctr_SITA_.doc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095"/>
        </w:tabs>
        <w:ind w:start="1095" w:hanging="375"/>
      </w:pPr>
      <w:rPr/>
    </w:lvl>
    <w:lvl w:ilvl="1">
      <w:start w:val="1"/>
      <w:numFmt w:val="lowerRoman"/>
      <w:lvlText w:val="(%2)"/>
      <w:lvlJc w:val="start"/>
      <w:pPr>
        <w:tabs>
          <w:tab w:val="num" w:pos="2160"/>
        </w:tabs>
        <w:ind w:start="2160" w:hanging="72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0"/>
      <w:numFmt w:val="lowerLetter"/>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jc w:val="end"/>
      <w:outlineLvl w:val="3"/>
    </w:pPr>
    <w:rPr>
      <w:b/>
      <w:sz w:val="22"/>
      <w:u w:val="single"/>
    </w:rPr>
  </w:style>
  <w:style w:type="character" w:styleId="WW8Num10z0">
    <w:name w:val="WW8Num10z0"/>
    <w:qFormat/>
    <w:rPr/>
  </w:style>
  <w:style w:type="character" w:styleId="WW8Num13z0">
    <w:name w:val="WW8Num13z0"/>
    <w:qFormat/>
    <w:rPr/>
  </w:style>
  <w:style w:type="character" w:styleId="WW8Num17z0">
    <w:name w:val="WW8Num17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2">
    <w:name w:val="Body Text 2"/>
    <w:basedOn w:val="Normal"/>
    <w:qFormat/>
    <w:pPr>
      <w:widowControl w:val="false"/>
      <w:spacing w:lineRule="exact" w:line="240"/>
      <w:ind w:hanging="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odyTextIndent">
    <w:name w:val="Body Text Indent"/>
    <w:basedOn w:val="Normal"/>
    <w:pPr>
      <w:ind w:hanging="0" w:start="1080" w:end="0"/>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2000-11-09T19:40:00Z</dcterms:created>
  <dc:creator>mheard</dc:creator>
  <dc:description/>
  <dc:language>en-CA</dc:language>
  <cp:lastModifiedBy>spanus</cp:lastModifiedBy>
  <cp:lastPrinted>2000-11-09T16:27:00Z</cp:lastPrinted>
  <dcterms:modified xsi:type="dcterms:W3CDTF">2000-11-09T20:02:00Z</dcterms:modified>
  <cp:revision>4</cp:revision>
  <dc:subject/>
  <dc:title>ISDA Multicurrency Agreement</dc:title>
</cp:coreProperties>
</file>