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200_</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Copamex S.A. de C.V.</w:t>
      </w:r>
    </w:p>
    <w:p>
      <w:pPr>
        <w:pStyle w:val="Normal"/>
        <w:rPr>
          <w:sz w:val="22"/>
          <w:szCs w:val="17"/>
        </w:rPr>
      </w:pPr>
      <w:r>
        <w:rPr>
          <w:sz w:val="22"/>
          <w:szCs w:val="17"/>
        </w:rPr>
        <w:t>Montes Apalaches 101</w:t>
      </w:r>
    </w:p>
    <w:p>
      <w:pPr>
        <w:pStyle w:val="Normal"/>
        <w:rPr>
          <w:sz w:val="22"/>
          <w:szCs w:val="17"/>
        </w:rPr>
      </w:pPr>
      <w:r>
        <w:rPr>
          <w:sz w:val="22"/>
          <w:szCs w:val="17"/>
        </w:rPr>
        <w:t>Col. Residencial San Agustin</w:t>
      </w:r>
    </w:p>
    <w:p>
      <w:pPr>
        <w:pStyle w:val="Normal"/>
        <w:rPr>
          <w:sz w:val="22"/>
          <w:szCs w:val="17"/>
        </w:rPr>
      </w:pPr>
      <w:r>
        <w:rPr>
          <w:sz w:val="22"/>
          <w:szCs w:val="17"/>
        </w:rPr>
        <w:t>66260 Garza Garcia, NL</w:t>
      </w:r>
    </w:p>
    <w:p>
      <w:pPr>
        <w:pStyle w:val="Normal"/>
        <w:rPr>
          <w:sz w:val="22"/>
          <w:szCs w:val="17"/>
        </w:rPr>
      </w:pPr>
      <w:r>
        <w:rPr>
          <w:sz w:val="22"/>
          <w:szCs w:val="17"/>
        </w:rPr>
        <w:t>Mexico</w:t>
      </w:r>
    </w:p>
    <w:p>
      <w:pPr>
        <w:pStyle w:val="Normal"/>
        <w:rPr>
          <w:sz w:val="22"/>
          <w:szCs w:val="17"/>
        </w:rPr>
      </w:pPr>
      <w:r>
        <w:rPr>
          <w:sz w:val="22"/>
          <w:szCs w:val="17"/>
        </w:rPr>
      </w:r>
    </w:p>
    <w:p>
      <w:pPr>
        <w:pStyle w:val="Normal"/>
        <w:rPr>
          <w:sz w:val="22"/>
          <w:szCs w:val="17"/>
        </w:rPr>
      </w:pPr>
      <w:r>
        <w:rPr>
          <w:sz w:val="22"/>
          <w:szCs w:val="17"/>
        </w:rPr>
        <w:t>Attention:</w:t>
        <w:tab/>
        <w:t>Francisco J. Eolsua</w:t>
      </w:r>
    </w:p>
    <w:p>
      <w:pPr>
        <w:pStyle w:val="Normal"/>
        <w:rPr>
          <w:sz w:val="22"/>
          <w:szCs w:val="17"/>
        </w:rPr>
      </w:pPr>
      <w:r>
        <w:rPr>
          <w:sz w:val="22"/>
          <w:szCs w:val="17"/>
        </w:rPr>
        <w:tab/>
        <w:tab/>
        <w:t>Gerente de Relaciones con Inversionistas</w:t>
      </w:r>
    </w:p>
    <w:p>
      <w:pPr>
        <w:pStyle w:val="Normal"/>
        <w:rPr>
          <w:sz w:val="22"/>
          <w:szCs w:val="17"/>
        </w:rPr>
      </w:pPr>
      <w:r>
        <w:rPr>
          <w:sz w:val="22"/>
          <w:szCs w:val="17"/>
        </w:rPr>
      </w:r>
    </w:p>
    <w:p>
      <w:pPr>
        <w:pStyle w:val="Normal"/>
        <w:rPr>
          <w:sz w:val="22"/>
          <w:szCs w:val="17"/>
        </w:rPr>
      </w:pPr>
      <w:r>
        <w:rPr>
          <w:sz w:val="22"/>
          <w:szCs w:val="17"/>
        </w:rPr>
        <w:t>Fax No.:  011-528-152-6129</w:t>
      </w:r>
    </w:p>
    <w:p>
      <w:pPr>
        <w:pStyle w:val="Normal"/>
        <w:rPr>
          <w:sz w:val="22"/>
          <w:szCs w:val="17"/>
        </w:rPr>
      </w:pPr>
      <w:r>
        <w:rPr>
          <w:sz w:val="22"/>
          <w:szCs w:val="17"/>
        </w:rPr>
        <w:t>Telephone No.:  011-528-152-6125</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Header"/>
        <w:tabs>
          <w:tab w:val="clear" w:pos="4320"/>
          <w:tab w:val="clear" w:pos="8640"/>
        </w:tabs>
        <w:rPr>
          <w:szCs w:val="17"/>
        </w:rPr>
      </w:pPr>
      <w:r>
        <w:rPr>
          <w:szCs w:val="17"/>
        </w:rPr>
        <w:t>Re:</w:t>
        <w:tab/>
        <w:t>TRANSACTION ENA Contract No. Y77450.1</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Normal"/>
        <w:jc w:val="both"/>
        <w:rPr>
          <w:sz w:val="22"/>
          <w:szCs w:val="17"/>
        </w:rPr>
      </w:pPr>
      <w:r>
        <w:rPr>
          <w:sz w:val="22"/>
          <w:szCs w:val="17"/>
        </w:rPr>
        <w:t>The purpose of this document is to confirm the terms and conditions of the transaction entered into between Copamex S.A. de C.V. ("Counterparty") and Enron North America Corp. ("ENA") on October 3,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October 3, 2001 between ___________ of ENA and ____________ of Counterparty.</w:t>
      </w:r>
    </w:p>
    <w:p>
      <w:pPr>
        <w:pStyle w:val="Normal"/>
        <w:jc w:val="both"/>
        <w:rPr>
          <w:sz w:val="22"/>
          <w:szCs w:val="17"/>
        </w:rPr>
      </w:pPr>
      <w:r>
        <w:rPr>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is a corporation, partnership, proprietorship, organization, trust or other entity not created solely to engage in swap transactions and has (i) total assets exceeding U.S. $10,000,000, or (ii) a net worth of U.S. $1,000,000;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Automatic Early Termination</w:t>
      </w:r>
      <w:r>
        <w:rPr>
          <w:b/>
          <w:sz w:val="22"/>
          <w:szCs w:val="17"/>
        </w:rPr>
        <w:t xml:space="preserve">.  </w:t>
      </w:r>
      <w:r>
        <w:rPr>
          <w:sz w:val="22"/>
          <w:szCs w:val="17"/>
        </w:rPr>
        <w:t>For purposes of Section 6(a) of the ISDA Agreement, "Automatic Early Termination" shall apply to ENA and Counterparty.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Place of Payments</w:t>
      </w:r>
      <w:r>
        <w:rPr>
          <w:b/>
          <w:sz w:val="22"/>
          <w:szCs w:val="17"/>
        </w:rPr>
        <w:t>.</w:t>
      </w:r>
      <w:r>
        <w:rPr>
          <w:sz w:val="22"/>
          <w:szCs w:val="17"/>
        </w:rPr>
        <w:t xml:space="preserve">  For the avoidance of doubt, any payments to be made between ENA and Counterparty in connection with this Transaction shall be made through bank accounts located in the United States.</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sz w:val="22"/>
        </w:rPr>
        <w:t>finally settled under the Rules of Arbitration of the International Chamber of Commerce (the “Rules”)</w:t>
      </w:r>
      <w:r>
        <w:rPr>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10.</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11.</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sz w:val="22"/>
          <w:szCs w:val="17"/>
        </w:rPr>
      </w:pPr>
      <w:r>
        <w:rPr>
          <w:sz w:val="22"/>
          <w:szCs w:val="17"/>
        </w:rPr>
        <w:t>12.</w:t>
        <w:tab/>
      </w:r>
      <w:r>
        <w:rPr>
          <w:b/>
          <w:sz w:val="22"/>
          <w:szCs w:val="17"/>
          <w:u w:val="single"/>
        </w:rPr>
        <w:t>Limitation of Liability</w:t>
      </w:r>
      <w:r>
        <w:rPr>
          <w:b/>
          <w:sz w:val="22"/>
          <w:szCs w:val="17"/>
        </w:rPr>
        <w:t xml:space="preserve">. </w:t>
      </w:r>
      <w:r>
        <w:rPr>
          <w:sz w:val="22"/>
          <w:szCs w:val="17"/>
        </w:rPr>
        <w:t xml:space="preserve"> </w:t>
      </w:r>
      <w:r>
        <w:rPr>
          <w:b/>
          <w:caps/>
          <w:sz w:val="22"/>
          <w:szCs w:val="17"/>
        </w:rPr>
        <w:t>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w:t>
      </w:r>
    </w:p>
    <w:p>
      <w:pPr>
        <w:pStyle w:val="Normal"/>
        <w:spacing w:lineRule="exact" w:line="240" w:before="240" w:after="0"/>
        <w:jc w:val="both"/>
        <w:rPr/>
      </w:pPr>
      <w:r>
        <w:rPr>
          <w:sz w:val="22"/>
          <w:szCs w:val="17"/>
        </w:rPr>
        <w:t>13.</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sz w:val="22"/>
          <w:szCs w:val="17"/>
        </w:rPr>
      </w:pPr>
      <w:r>
        <w:rPr>
          <w:sz w:val="22"/>
          <w:szCs w:val="17"/>
        </w:rPr>
        <w:t>14.</w:t>
        <w:tab/>
        <w:t>The Termination Currency shall be United States Dollars.</w:t>
      </w:r>
    </w:p>
    <w:p>
      <w:pPr>
        <w:pStyle w:val="Normal"/>
        <w:rPr>
          <w:sz w:val="22"/>
          <w:szCs w:val="17"/>
        </w:rPr>
      </w:pPr>
      <w:r>
        <w:rPr>
          <w:sz w:val="22"/>
          <w:szCs w:val="17"/>
        </w:rPr>
      </w:r>
    </w:p>
    <w:p>
      <w:pPr>
        <w:pStyle w:val="Normal"/>
        <w:jc w:val="both"/>
        <w:rPr/>
      </w:pPr>
      <w:r>
        <w:rPr>
          <w:sz w:val="22"/>
          <w:szCs w:val="17"/>
        </w:rPr>
        <w:t>15.</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jc w:val="both"/>
        <w:rPr/>
      </w:pPr>
      <w:r>
        <w:rPr>
          <w:sz w:val="22"/>
          <w:szCs w:val="17"/>
        </w:rPr>
        <w:t>a)</w:t>
      </w:r>
      <w:r>
        <w:rPr>
          <w:b/>
          <w:sz w:val="22"/>
          <w:szCs w:val="17"/>
        </w:rPr>
        <w:t xml:space="preserve"> </w:t>
      </w:r>
      <w:r>
        <w:rPr>
          <w:b/>
          <w:sz w:val="22"/>
          <w:szCs w:val="17"/>
          <w:u w:val="single"/>
        </w:rPr>
        <w:t>Additional Representations.</w:t>
      </w:r>
      <w:r>
        <w:rPr>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 w:val="22"/>
          <w:szCs w:val="17"/>
        </w:rPr>
        <w:t>(g)</w:t>
        <w:tab/>
      </w:r>
      <w:r>
        <w:rPr>
          <w:b/>
          <w:sz w:val="22"/>
          <w:szCs w:val="17"/>
        </w:rPr>
        <w:t>ENA.</w:t>
      </w:r>
      <w:r>
        <w:rPr>
          <w:sz w:val="22"/>
          <w:szCs w:val="17"/>
        </w:rPr>
        <w:t xml:space="preserve">  ENA hereby represents and warrants to Counterparty that:</w:t>
      </w:r>
    </w:p>
    <w:p>
      <w:pPr>
        <w:pStyle w:val="BodyTextIndent3"/>
        <w:numPr>
          <w:ilvl w:val="0"/>
          <w:numId w:val="3"/>
        </w:numPr>
        <w:spacing w:lineRule="auto" w:line="240" w:before="240" w:after="0"/>
        <w:rPr>
          <w:szCs w:val="17"/>
        </w:rPr>
      </w:pPr>
      <w:r>
        <w:rPr>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spacing w:before="0" w:after="0"/>
        <w:rPr/>
      </w:pPr>
      <w:r>
        <w:rPr>
          <w:rFonts w:cs="Times New Roman" w:ascii="Times New Roman" w:hAnsi="Times New Roman"/>
          <w:b/>
          <w:sz w:val="22"/>
          <w:szCs w:val="17"/>
        </w:rPr>
        <w:t>Counterparty.</w:t>
      </w:r>
      <w:r>
        <w:rPr>
          <w:rFonts w:cs="Times New Roman" w:ascii="Times New Roman" w:hAnsi="Times New Roman"/>
          <w:sz w:val="22"/>
          <w:szCs w:val="17"/>
        </w:rPr>
        <w:t xml:space="preserve">  Counterparty hereby represents and warrants to ENA that:</w:t>
      </w:r>
    </w:p>
    <w:p>
      <w:pPr>
        <w:pStyle w:val="Heading2"/>
        <w:spacing w:before="0" w:after="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 w:val="22"/>
          <w:szCs w:val="17"/>
          <w:u w:val="single"/>
        </w:rPr>
        <w:t xml:space="preserve">Registro Publico de Comercio de                    </w:t>
      </w:r>
      <w:r>
        <w:rPr>
          <w:rFonts w:cs="Times New Roman" w:ascii="Times New Roman" w:hAnsi="Times New Roman"/>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Normal"/>
        <w:jc w:val="both"/>
        <w:rPr>
          <w:rFonts w:ascii="Times New Roman" w:hAnsi="Times New Roman" w:cs="Times New Roman"/>
          <w:sz w:val="22"/>
          <w:szCs w:val="17"/>
        </w:rPr>
      </w:pPr>
      <w:r>
        <w:rPr>
          <w:rFonts w:cs="Times New Roman"/>
          <w:sz w:val="22"/>
          <w:szCs w:val="17"/>
        </w:rPr>
      </w:r>
    </w:p>
    <w:p>
      <w:pPr>
        <w:pStyle w:val="Normal"/>
        <w:numPr>
          <w:ilvl w:val="0"/>
          <w:numId w:val="2"/>
        </w:numPr>
        <w:jc w:val="both"/>
        <w:rPr>
          <w:sz w:val="22"/>
          <w:szCs w:val="17"/>
        </w:rPr>
      </w:pPr>
      <w:r>
        <w:rPr>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 w:val="22"/>
          <w:szCs w:val="17"/>
        </w:rPr>
      </w:pPr>
      <w:r>
        <w:rPr>
          <w:sz w:val="22"/>
          <w:szCs w:val="17"/>
        </w:rPr>
      </w:r>
    </w:p>
    <w:p>
      <w:pPr>
        <w:pStyle w:val="Normal"/>
        <w:ind w:start="720" w:end="0"/>
        <w:jc w:val="both"/>
        <w:rPr>
          <w:sz w:val="22"/>
          <w:szCs w:val="17"/>
        </w:rPr>
      </w:pPr>
      <w:r>
        <w:rPr>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 w:val="22"/>
          <w:szCs w:val="17"/>
        </w:rPr>
      </w:pPr>
      <w:r>
        <w:rPr>
          <w:sz w:val="22"/>
          <w:szCs w:val="17"/>
        </w:rPr>
      </w:r>
    </w:p>
    <w:p>
      <w:pPr>
        <w:pStyle w:val="Heading2"/>
        <w:ind w:hanging="0" w:end="0"/>
        <w:rPr/>
      </w:pPr>
      <w:r>
        <w:rPr>
          <w:rFonts w:cs="Times New Roman" w:ascii="Times New Roman" w:hAnsi="Times New Roman"/>
          <w:bCs/>
          <w:sz w:val="22"/>
          <w:szCs w:val="17"/>
        </w:rPr>
        <w:t xml:space="preserve">b) </w:t>
      </w:r>
      <w:r>
        <w:rPr>
          <w:rFonts w:cs="Times New Roman" w:ascii="Times New Roman" w:hAnsi="Times New Roman"/>
          <w:b/>
          <w:sz w:val="22"/>
          <w:szCs w:val="17"/>
          <w:u w:val="single"/>
        </w:rPr>
        <w:t>Authorization.</w:t>
      </w:r>
      <w:r>
        <w:rPr>
          <w:rFonts w:cs="Times New Roman" w:ascii="Times New Roman" w:hAnsi="Times New Roman"/>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rFonts w:ascii="Times New Roman" w:hAnsi="Times New Roman" w:cs="Times New Roman"/>
          <w:sz w:val="22"/>
          <w:szCs w:val="17"/>
        </w:rPr>
      </w:pPr>
      <w:r>
        <w:rPr>
          <w:rFonts w:cs="Times New Roman"/>
          <w:sz w:val="22"/>
          <w:szCs w:val="17"/>
        </w:rPr>
      </w:r>
    </w:p>
    <w:p>
      <w:pPr>
        <w:pStyle w:val="Normal"/>
        <w:rPr>
          <w:sz w:val="22"/>
          <w:szCs w:val="17"/>
        </w:rPr>
      </w:pPr>
      <w:r>
        <w:rPr>
          <w:sz w:val="22"/>
          <w:szCs w:val="17"/>
        </w:rPr>
      </w:r>
    </w:p>
    <w:p>
      <w:pPr>
        <w:pStyle w:val="Normal"/>
        <w:rPr>
          <w:sz w:val="22"/>
          <w:szCs w:val="17"/>
        </w:rPr>
      </w:pPr>
      <w:r>
        <w:rPr>
          <w:sz w:val="22"/>
          <w:szCs w:val="17"/>
        </w:rPr>
        <w:t>16.</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Justified"/>
        <w:spacing w:before="0" w:after="0"/>
        <w:rPr>
          <w:rFonts w:ascii="Times New Roman" w:hAnsi="Times New Roman" w:cs="Times New Roman"/>
          <w:szCs w:val="17"/>
        </w:rPr>
      </w:pPr>
      <w:r>
        <w:rPr>
          <w:rFonts w:cs="Times New Roman" w:ascii="Times New Roman" w:hAnsi="Times New Roman"/>
          <w:szCs w:val="17"/>
        </w:rPr>
        <w:tab/>
        <w:t>(b)</w:t>
        <w:tab/>
        <w:t>The office of Counterparty is and copies of any notices should be delivered to: Montex Apalaches 101, Col. Residencial San Agustin, 66260 Garza Garcia, NL Mexico, Attention:  Gerente de Relaciones con Inversionistas, Facsimile No. 011-528-152-6129.</w:t>
      </w:r>
    </w:p>
    <w:p>
      <w:pPr>
        <w:pStyle w:val="Normal"/>
        <w:jc w:val="both"/>
        <w:rPr>
          <w:rFonts w:ascii="Times New Roman" w:hAnsi="Times New Roman" w:cs="Times New Roman"/>
          <w:sz w:val="22"/>
          <w:szCs w:val="17"/>
        </w:rPr>
      </w:pPr>
      <w:r>
        <w:rPr>
          <w:rFonts w:cs="Times New Roman"/>
          <w:sz w:val="22"/>
          <w:szCs w:val="17"/>
        </w:rPr>
      </w:r>
    </w:p>
    <w:p>
      <w:pPr>
        <w:pStyle w:val="Normal"/>
        <w:spacing w:lineRule="exact" w:line="240" w:before="240" w:after="0"/>
        <w:jc w:val="both"/>
        <w:rPr/>
      </w:pPr>
      <w:r>
        <w:rPr>
          <w:sz w:val="22"/>
          <w:szCs w:val="17"/>
        </w:rPr>
        <w:t>17.</w:t>
        <w:tab/>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sz w:val="22"/>
          <w:szCs w:val="17"/>
          <w:u w:val="single"/>
        </w:rPr>
      </w:pPr>
      <w:r>
        <w:rPr>
          <w:b/>
          <w:bCs/>
          <w:sz w:val="22"/>
          <w:szCs w:val="17"/>
          <w:u w:val="single"/>
        </w:rPr>
      </w:r>
    </w:p>
    <w:p>
      <w:pPr>
        <w:pStyle w:val="Normal"/>
        <w:keepNext w:val="true"/>
        <w:jc w:val="both"/>
        <w:rPr>
          <w:b/>
          <w:sz w:val="22"/>
          <w:szCs w:val="17"/>
          <w:u w:val="single"/>
        </w:rPr>
      </w:pPr>
      <w:r>
        <w:rPr>
          <w:sz w:val="22"/>
          <w:szCs w:val="17"/>
        </w:rPr>
        <w:t>18.</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COPAMEX S.A. DE C.V.</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sz w:val="22"/>
          <w:szCs w:val="17"/>
        </w:rPr>
      </w:pPr>
      <w:r>
        <w:rPr>
          <w:b/>
          <w:sz w:val="22"/>
          <w:szCs w:val="17"/>
        </w:rPr>
        <w:t>Party B:  Copamex S.A. de C.V.</w:t>
      </w:r>
    </w:p>
    <w:p>
      <w:pPr>
        <w:pStyle w:val="Normal"/>
        <w:keepNext w:val="true"/>
        <w:jc w:val="center"/>
        <w:rPr>
          <w:b/>
          <w:sz w:val="22"/>
          <w:szCs w:val="17"/>
        </w:rPr>
      </w:pPr>
      <w:r>
        <w:rPr>
          <w:b/>
          <w:sz w:val="22"/>
          <w:szCs w:val="17"/>
        </w:rPr>
      </w:r>
    </w:p>
    <w:p>
      <w:pPr>
        <w:pStyle w:val="Normal"/>
        <w:tabs>
          <w:tab w:val="left" w:pos="720" w:leader="none"/>
          <w:tab w:val="left" w:pos="1170" w:leader="none"/>
        </w:tabs>
        <w:spacing w:lineRule="exact" w:line="480"/>
        <w:jc w:val="both"/>
        <w:rPr>
          <w:b/>
          <w:sz w:val="22"/>
          <w:szCs w:val="17"/>
        </w:rPr>
      </w:pPr>
      <w:r>
        <w:rPr>
          <w:b/>
          <w:sz w:val="22"/>
          <w:szCs w:val="17"/>
        </w:rPr>
        <w:t>I.</w:t>
        <w:tab/>
        <w:t>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240" w:after="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17"/>
        </w:rPr>
        <w:t>"</w:t>
      </w:r>
      <w:r>
        <w:rPr>
          <w:b/>
          <w:sz w:val="22"/>
          <w:szCs w:val="17"/>
        </w:rPr>
        <w:t>Specified Treaty</w:t>
      </w:r>
      <w:r>
        <w:rPr>
          <w:sz w:val="22"/>
          <w:szCs w:val="17"/>
        </w:rPr>
        <w:t>" means the income tax treaty between the United States and Mexico.</w:t>
      </w:r>
    </w:p>
    <w:p>
      <w:pPr>
        <w:pStyle w:val="Normal"/>
        <w:spacing w:lineRule="exact" w:line="240" w:before="240" w:after="0"/>
        <w:jc w:val="both"/>
        <w:rPr/>
      </w:pPr>
      <w:r>
        <w:rPr>
          <w:sz w:val="22"/>
          <w:szCs w:val="17"/>
        </w:rPr>
        <w:t>"</w:t>
      </w:r>
      <w:r>
        <w:rPr>
          <w:b/>
          <w:sz w:val="22"/>
          <w:szCs w:val="17"/>
        </w:rPr>
        <w:t>Specified Jurisdiction</w:t>
      </w:r>
      <w:r>
        <w:rPr>
          <w:sz w:val="22"/>
          <w:szCs w:val="17"/>
        </w:rPr>
        <w:t>" means, with respect to Party A, Mexico.</w:t>
      </w:r>
    </w:p>
    <w:p>
      <w:pPr>
        <w:pStyle w:val="Normal"/>
        <w:spacing w:lineRule="exact" w:line="240" w:before="240" w:after="0"/>
        <w:jc w:val="both"/>
        <w:rPr/>
      </w:pPr>
      <w:r>
        <w:rPr>
          <w:sz w:val="22"/>
          <w:szCs w:val="17"/>
        </w:rPr>
        <w:t>"</w:t>
      </w:r>
      <w:r>
        <w:rPr>
          <w:b/>
          <w:sz w:val="22"/>
          <w:szCs w:val="17"/>
        </w:rPr>
        <w:t>Specified Jurisdiction</w:t>
      </w:r>
      <w:r>
        <w:rPr>
          <w:sz w:val="22"/>
          <w:szCs w:val="17"/>
        </w:rPr>
        <w:t>" means, with respect to Party B, the United States.</w:t>
      </w:r>
    </w:p>
    <w:p>
      <w:pPr>
        <w:pStyle w:val="Normal"/>
        <w:spacing w:lineRule="exact" w:line="480"/>
        <w:jc w:val="both"/>
        <w:rPr>
          <w:b/>
          <w:sz w:val="22"/>
          <w:szCs w:val="17"/>
        </w:rPr>
      </w:pPr>
      <w:r>
        <w:rPr>
          <w:b/>
          <w:sz w:val="22"/>
          <w:szCs w:val="17"/>
        </w:rPr>
        <w:t>II.</w:t>
        <w:tab/>
        <w:t>Agreement to Deliver Documents.</w:t>
      </w:r>
    </w:p>
    <w:p>
      <w:pPr>
        <w:pStyle w:val="Normal"/>
        <w:spacing w:lineRule="exact" w:line="240" w:before="240" w:after="0"/>
        <w:jc w:val="both"/>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ing4"/>
        <w:ind w:hanging="0" w:start="0"/>
        <w:rPr>
          <w:sz w:val="22"/>
          <w:szCs w:val="17"/>
        </w:rPr>
      </w:pPr>
      <w:r>
        <w:rPr>
          <w:sz w:val="22"/>
          <w:szCs w:val="17"/>
        </w:rPr>
        <w:t>DEEMED ISDA</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center"/>
        <w:rPr>
          <w:b/>
          <w:sz w:val="22"/>
          <w:szCs w:val="17"/>
        </w:rPr>
      </w:pPr>
      <w:r>
        <w:rPr>
          <w:b/>
          <w:sz w:val="22"/>
          <w:szCs w:val="17"/>
        </w:rPr>
        <w:t>COPAMEX S.A. DE C.V.</w:t>
      </w:r>
    </w:p>
    <w:p>
      <w:pPr>
        <w:pStyle w:val="Normal"/>
        <w:jc w:val="center"/>
        <w:rPr>
          <w:b/>
          <w:sz w:val="22"/>
          <w:szCs w:val="17"/>
        </w:rPr>
      </w:pPr>
      <w:r>
        <w:rPr>
          <w:b/>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ind w:hanging="360" w:start="720" w:end="0"/>
        <w:jc w:val="both"/>
        <w:rPr>
          <w:sz w:val="22"/>
          <w:szCs w:val="17"/>
        </w:rPr>
      </w:pPr>
      <w:r>
        <w:rPr>
          <w:sz w:val="22"/>
          <w:szCs w:val="17"/>
        </w:rPr>
        <w:t>(i)</w:t>
        <w:tab/>
        <w:t>The following Events of Default are added to Section 5(a) of the ISDA Agreement:</w:t>
      </w:r>
    </w:p>
    <w:p>
      <w:pPr>
        <w:pStyle w:val="Normal"/>
        <w:ind w:hanging="720" w:start="72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 w:val="22"/>
          <w:szCs w:val="17"/>
        </w:rPr>
      </w:pPr>
      <w:r>
        <w:rPr>
          <w:sz w:val="22"/>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2"/>
          <w:szCs w:val="17"/>
        </w:rPr>
        <w:t xml:space="preserve">; </w:t>
      </w:r>
      <w:r>
        <w:rPr>
          <w:sz w:val="22"/>
          <w:szCs w:val="17"/>
        </w:rPr>
        <w:t xml:space="preserve">and with respect to Party B, U.S. $10,000,000 (or its equivalent in another currency; </w:t>
      </w:r>
      <w:r>
        <w:rPr>
          <w:sz w:val="22"/>
          <w:szCs w:val="17"/>
          <w:u w:val="single"/>
        </w:rPr>
        <w:t>provided</w:t>
      </w:r>
      <w:r>
        <w:rPr>
          <w:sz w:val="22"/>
          <w:szCs w:val="17"/>
        </w:rPr>
        <w:t xml:space="preserve">, </w:t>
      </w:r>
      <w:r>
        <w:rPr>
          <w:sz w:val="22"/>
          <w:szCs w:val="17"/>
          <w:u w:val="single"/>
        </w:rPr>
        <w:t>that,</w:t>
      </w:r>
      <w:r>
        <w:rPr>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b/>
          <w:sz w:val="22"/>
          <w:szCs w:val="17"/>
        </w:rPr>
      </w:pPr>
      <w:r>
        <w:rPr>
          <w:i/>
          <w:sz w:val="22"/>
          <w:szCs w:val="17"/>
        </w:rPr>
        <w:t>"</w:t>
      </w:r>
      <w:r>
        <w:rPr>
          <w:i/>
          <w:sz w:val="22"/>
          <w:szCs w:val="17"/>
          <w:u w:val="single"/>
        </w:rPr>
        <w:t>Credit Rating</w:t>
      </w:r>
      <w:r>
        <w:rPr>
          <w:i/>
          <w:sz w:val="22"/>
          <w:szCs w:val="17"/>
        </w:rPr>
        <w:t>"</w:t>
      </w:r>
      <w:r>
        <w:rPr>
          <w:sz w:val="22"/>
          <w:szCs w:val="17"/>
        </w:rPr>
        <w:t xml:space="preserve"> means, with respect to ENA (or its Credit Support Provider, as the case may be) or entity, on any date of determination, the respective rating then assigned to ENA’s (or its Credit Support Provider's, as the case may be) or entity's unsecured and senior long-term debt or deposit obligations (not supported by third party credit enhancement) by S&amp;P, Moody's or the specified rating agency or agencies, and with respect to Counterparty (or its Credit Support Provider, as the case may be) or entity, on any date of determination, the foreign currency ratings then assigned to Party B (or its Credit Support Provider, as the case may be) 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szCs w:val="17"/>
          <w:u w:val="single"/>
        </w:rPr>
      </w:pPr>
      <w:r>
        <w:rPr>
          <w:b/>
          <w:sz w:val="22"/>
          <w:szCs w:val="17"/>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ENA only,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szCs w:val="17"/>
          <w:u w:val="single"/>
        </w:rPr>
      </w:pPr>
      <w:r>
        <w:rPr>
          <w:b/>
          <w:sz w:val="22"/>
          <w:szCs w:val="17"/>
          <w:u w:val="single"/>
        </w:rPr>
      </w:r>
    </w:p>
    <w:p>
      <w:pPr>
        <w:pStyle w:val="Normal"/>
        <w:ind w:start="360" w:end="0"/>
        <w:jc w:val="both"/>
        <w:rPr>
          <w:sz w:val="22"/>
          <w:szCs w:val="17"/>
        </w:rPr>
      </w:pPr>
      <w:r>
        <w:rPr>
          <w:sz w:val="22"/>
          <w:szCs w:val="17"/>
        </w:rPr>
        <w:t>"</w:t>
      </w:r>
      <w:r>
        <w:rPr>
          <w:i/>
          <w:sz w:val="22"/>
          <w:szCs w:val="17"/>
          <w:u w:val="single"/>
        </w:rPr>
        <w:t>Material Adverse Change</w:t>
      </w:r>
      <w:r>
        <w:rPr>
          <w:i/>
          <w:sz w:val="22"/>
          <w:szCs w:val="17"/>
        </w:rPr>
        <w:t>"</w:t>
      </w:r>
      <w:r>
        <w:rPr>
          <w:sz w:val="22"/>
          <w:szCs w:val="17"/>
        </w:rPr>
        <w:t xml:space="preserve"> means (a) with respect to ENA, </w:t>
      </w:r>
      <w:r>
        <w:rPr>
          <w:color w:val="000000"/>
          <w:sz w:val="22"/>
          <w:szCs w:val="17"/>
        </w:rPr>
        <w:t>its Credit Support Provider's Credit Rating is below "BBB-" by S&amp;P or its Credit Support Provider fails to have a Credit Rating from S&amp;P; or (b) with respect to Counterparty, its Credit Rating is below "BB-" by S&amp;P or it</w:t>
      </w:r>
      <w:r>
        <w:rPr>
          <w:color w:val="FF0000"/>
          <w:sz w:val="22"/>
          <w:szCs w:val="17"/>
        </w:rPr>
        <w:t xml:space="preserve"> </w:t>
      </w:r>
      <w:r>
        <w:rPr>
          <w:color w:val="000000"/>
          <w:sz w:val="22"/>
          <w:szCs w:val="17"/>
        </w:rPr>
        <w:t>fails to have a Credit Rating from S&amp;P.</w:t>
      </w:r>
    </w:p>
    <w:p>
      <w:pPr>
        <w:pStyle w:val="Justified"/>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ind w:start="36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360" w:end="0"/>
        <w:jc w:val="both"/>
        <w:rPr/>
      </w:pPr>
      <w:r>
        <w:rPr>
          <w:sz w:val="22"/>
          <w:szCs w:val="17"/>
        </w:rPr>
        <w:t>"</w:t>
      </w:r>
      <w:r>
        <w:rPr>
          <w:sz w:val="22"/>
          <w:szCs w:val="17"/>
          <w:u w:val="single"/>
        </w:rPr>
        <w:t>Credit Support Documents - Guaranty</w:t>
      </w:r>
      <w:r>
        <w:rPr>
          <w:sz w:val="22"/>
          <w:szCs w:val="17"/>
        </w:rPr>
        <w:t>.  ENA had delivered to Counterparty a duly executed U.S. $15,000,000 guaranty dated September 26, 2001 (</w:t>
      </w:r>
      <w:r>
        <w:rPr>
          <w:i/>
          <w:sz w:val="22"/>
          <w:szCs w:val="17"/>
        </w:rPr>
        <w:t>"</w:t>
      </w:r>
      <w:r>
        <w:rPr>
          <w:i/>
          <w:sz w:val="22"/>
          <w:szCs w:val="17"/>
          <w:u w:val="single"/>
        </w:rPr>
        <w:t>Guaranty</w:t>
      </w:r>
      <w:r>
        <w:rPr>
          <w:i/>
          <w:sz w:val="22"/>
          <w:szCs w:val="17"/>
        </w:rPr>
        <w:t>"</w:t>
      </w:r>
      <w:r>
        <w:rPr>
          <w:sz w:val="22"/>
          <w:szCs w:val="17"/>
        </w:rPr>
        <w:t>) in the form attached as Annex B-2 from its Credit Support Provider, which shall be a Credit Support Document."</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jc w:val="both"/>
        <w:rPr>
          <w:sz w:val="22"/>
          <w:szCs w:val="17"/>
        </w:rPr>
      </w:pPr>
      <w:r>
        <w:rPr>
          <w:sz w:val="22"/>
          <w:szCs w:val="17"/>
        </w:rPr>
        <w:tab/>
        <w:t>The following documents are hereby required to be delivered pursuant to Section 4(a) of the ISDA Agreement:</w:t>
      </w:r>
    </w:p>
    <w:p>
      <w:pPr>
        <w:pStyle w:val="Normal"/>
        <w:jc w:val="both"/>
        <w:rPr>
          <w:sz w:val="22"/>
          <w:szCs w:val="17"/>
        </w:rPr>
      </w:pPr>
      <w:r>
        <w:rPr>
          <w:sz w:val="22"/>
          <w:szCs w:val="17"/>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its Credit Support Provider's annual consolidated financial statements are not available on "EDGAR" or its Credit Support Provider's home page on the World Wide Web at www.enron.com; </w:t>
      </w:r>
      <w:r>
        <w:rPr>
          <w:sz w:val="22"/>
          <w:szCs w:val="15"/>
        </w:rPr>
        <w:t xml:space="preserve"> </w:t>
      </w:r>
      <w:r>
        <w:rPr>
          <w:sz w:val="22"/>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$10,000,000 and (ii) Counterparty, U.S. $7,000,000;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4"/>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pPr>
      <w:r>
        <w:rPr>
          <w:sz w:val="22"/>
          <w:szCs w:val="17"/>
        </w:rPr>
        <w:tab/>
      </w:r>
      <w:r>
        <w:rPr>
          <w:color w:val="000000"/>
          <w:sz w:val="22"/>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p>
      <w:pPr>
        <w:pStyle w:val="Heading5"/>
        <w:ind w:hanging="0" w:start="0"/>
        <w:rPr/>
      </w:pPr>
      <w:r>
        <w:rPr/>
        <w:t>EXHIBIT B-2</w:t>
      </w:r>
    </w:p>
    <w:p>
      <w:pPr>
        <w:pStyle w:val="Normal"/>
        <w:tabs>
          <w:tab w:val="clear" w:pos="720"/>
          <w:tab w:val="left" w:pos="90" w:leader="none"/>
          <w:tab w:val="left" w:pos="4320" w:leader="none"/>
          <w:tab w:val="left" w:pos="5760" w:leader="none"/>
        </w:tabs>
        <w:jc w:val="center"/>
        <w:rPr>
          <w:sz w:val="22"/>
          <w:szCs w:val="17"/>
          <w:lang w:val="en-CA" w:eastAsia="en-CA"/>
        </w:rPr>
      </w:pPr>
      <w:r>
        <w:rPr>
          <w:sz w:val="22"/>
          <w:szCs w:val="17"/>
          <w:lang w:val="en-CA" w:eastAsia="en-CA"/>
        </w:rPr>
      </w:r>
    </w:p>
    <w:p>
      <w:pPr>
        <w:pStyle w:val="Normal"/>
        <w:tabs>
          <w:tab w:val="clear" w:pos="720"/>
          <w:tab w:val="left" w:pos="90" w:leader="none"/>
          <w:tab w:val="left" w:pos="4320" w:leader="none"/>
          <w:tab w:val="left" w:pos="5760" w:leader="none"/>
        </w:tabs>
        <w:jc w:val="center"/>
        <w:rPr>
          <w:sz w:val="22"/>
          <w:szCs w:val="17"/>
          <w:lang w:val="en-CA" w:eastAsia="en-CA"/>
        </w:rPr>
      </w:pPr>
      <w:r>
        <w:rPr>
          <w:sz w:val="22"/>
          <w:szCs w:val="17"/>
          <w:lang w:val="en-CA" w:eastAsia="en-CA"/>
        </w:rPr>
      </w:r>
    </w:p>
    <w:p>
      <w:pPr>
        <w:pStyle w:val="Normal"/>
        <w:tabs>
          <w:tab w:val="clear" w:pos="720"/>
          <w:tab w:val="left" w:pos="90" w:leader="none"/>
          <w:tab w:val="left" w:pos="4320" w:leader="none"/>
          <w:tab w:val="left" w:pos="5760" w:leader="none"/>
        </w:tabs>
        <w:jc w:val="center"/>
        <w:rPr>
          <w:b/>
          <w:bCs/>
          <w:sz w:val="22"/>
          <w:szCs w:val="17"/>
          <w:lang w:val="en-CA" w:eastAsia="en-CA"/>
        </w:rPr>
      </w:pPr>
      <w:r>
        <w:rPr>
          <w:b/>
          <w:bCs/>
          <w:sz w:val="22"/>
          <w:szCs w:val="17"/>
          <w:lang w:val="en-CA" w:eastAsia="en-CA"/>
        </w:rPr>
        <w:t>Enron Corp. Guaranty dated September 26, 2001</w:t>
      </w:r>
    </w:p>
    <w:sectPr>
      <w:headerReference w:type="default" r:id="rId17"/>
      <w:headerReference w:type="first" r:id="rId18"/>
      <w:footerReference w:type="default" r:id="rId19"/>
      <w:footerReference w:type="first" r:id="rId20"/>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7</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9</w:t>
    </w:r>
    <w:r>
      <w:rPr>
        <w:rStyle w:val="PageNumber"/>
        <w:sz w:val="15"/>
        <w:szCs w:val="15"/>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/mnt/main-storage/datasets/enron-docs/doc/027conf_copamex_.doc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6</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8</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tabs>
        <w:tab w:val="clear" w:pos="720"/>
        <w:tab w:val="left" w:pos="90" w:leader="none"/>
        <w:tab w:val="left" w:pos="4320" w:leader="none"/>
        <w:tab w:val="left" w:pos="5760" w:leader="none"/>
      </w:tabs>
      <w:jc w:val="center"/>
      <w:outlineLvl w:val="4"/>
    </w:pPr>
    <w:rPr>
      <w:b/>
      <w:bCs/>
      <w:sz w:val="22"/>
      <w:szCs w:val="17"/>
      <w:u w:val="single"/>
      <w:lang w:val="en-CA" w:eastAsia="en-C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2001-10-08T18:55:00Z</dcterms:created>
  <dc:creator>mheard</dc:creator>
  <dc:description/>
  <dc:language>en-CA</dc:language>
  <cp:lastModifiedBy>mheard</cp:lastModifiedBy>
  <cp:lastPrinted>2001-10-08T17:34:00Z</cp:lastPrinted>
  <dcterms:modified xsi:type="dcterms:W3CDTF">2001-10-08T20:07:00Z</dcterms:modified>
  <cp:revision>7</cp:revision>
  <dc:subject/>
  <dc:title>“DEEMED ISDA” CONFIRMATION</dc:title>
</cp:coreProperties>
</file>