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November ___, 1999</w:t>
      </w:r>
    </w:p>
    <w:p>
      <w:pPr>
        <w:pStyle w:val="Normal"/>
        <w:rPr/>
      </w:pPr>
      <w:r>
        <w:rPr/>
      </w:r>
    </w:p>
    <w:p>
      <w:pPr>
        <w:pStyle w:val="Index1"/>
        <w:rPr>
          <w:rFonts w:ascii="Times New Roman" w:hAnsi="Times New Roman" w:cs="Times New Roman"/>
        </w:rPr>
      </w:pPr>
      <w:r>
        <w:rPr>
          <w:rFonts w:cs="Times New Roman" w:ascii="Times New Roman" w:hAnsi="Times New Roman"/>
        </w:rPr>
        <w:t>Hysla S.A. de C.V.</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Hysla S.A. de C.V. (“Counterparty”) and Enron North America Corp. (“ENA”) on November 15, 1999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1999 between ___________ of ENA and ____________ of Counterparty.</w:t>
      </w:r>
    </w:p>
    <w:p>
      <w:pPr>
        <w:pStyle w:val="Normal"/>
        <w:jc w:val="both"/>
        <w:rPr/>
      </w:pPr>
      <w:r>
        <w:rPr/>
      </w:r>
    </w:p>
    <w:p>
      <w:pPr>
        <w:pStyle w:val="BodyText"/>
        <w:rPr/>
      </w:pPr>
      <w:r>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color w:val="FF0000"/>
        </w:rPr>
      </w:pPr>
      <w:r>
        <w:rPr/>
        <w:t>6</w:t>
      </w:r>
      <w:r>
        <w:rPr>
          <w:color w:val="000000"/>
        </w:rPr>
        <w:t>.</w:t>
      </w:r>
      <w:r>
        <w:rPr>
          <w:color w:val="FF0000"/>
        </w:rPr>
        <w:tab/>
      </w:r>
      <w:r>
        <w:rPr>
          <w:b/>
          <w:color w:val="000000"/>
          <w:u w:val="single"/>
        </w:rPr>
        <w:t>Automatic Early Termination</w:t>
      </w:r>
      <w:r>
        <w:rPr>
          <w:b/>
          <w:color w:val="000000"/>
        </w:rPr>
        <w:t xml:space="preserve">.  </w:t>
      </w:r>
      <w:r>
        <w:rPr>
          <w:color w:val="000000"/>
        </w:rPr>
        <w:t>For purposes of Section 6(a) of the ISDA Agreement, “Automatic Early Termination” shall apply to ENA and Counterparty.</w:t>
      </w:r>
    </w:p>
    <w:p>
      <w:pPr>
        <w:pStyle w:val="Normal"/>
        <w:jc w:val="both"/>
        <w:rPr>
          <w:color w:val="FF0000"/>
        </w:rPr>
      </w:pPr>
      <w:r>
        <w:rPr>
          <w:color w:val="FF0000"/>
        </w:rPr>
      </w:r>
    </w:p>
    <w:p>
      <w:pPr>
        <w:pStyle w:val="Normal"/>
        <w:jc w:val="both"/>
        <w:rPr/>
      </w:pPr>
      <w:r>
        <w:rPr/>
        <w:t>7.</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color w:val="FF0000"/>
        </w:rPr>
      </w:pPr>
      <w:r>
        <w:rPr/>
        <w:t>8</w:t>
      </w:r>
      <w:r>
        <w:rPr>
          <w:color w:val="000000"/>
        </w:rPr>
        <w:t>.</w:t>
        <w:tab/>
      </w:r>
      <w:r>
        <w:rPr>
          <w:b/>
          <w:color w:val="000000"/>
          <w:u w:val="single"/>
        </w:rPr>
        <w:t>Place of Payments</w:t>
      </w:r>
      <w:r>
        <w:rPr>
          <w:b/>
          <w:color w:val="000000"/>
        </w:rPr>
        <w:t>.</w:t>
      </w:r>
      <w:r>
        <w:rPr>
          <w:color w:val="000000"/>
        </w:rPr>
        <w:t xml:space="preserve">  For the avoidance of doubt, any payments to be made between ENA and Counterparty in connection with this Transaction shall be made through bank accounts located in the United States.</w:t>
      </w:r>
    </w:p>
    <w:p>
      <w:pPr>
        <w:pStyle w:val="Normal"/>
        <w:jc w:val="both"/>
        <w:rPr>
          <w:color w:val="FF0000"/>
        </w:rPr>
      </w:pPr>
      <w:r>
        <w:rPr>
          <w:color w:val="FF0000"/>
        </w:rPr>
      </w:r>
    </w:p>
    <w:p>
      <w:pPr>
        <w:pStyle w:val="Normal"/>
        <w:jc w:val="both"/>
        <w:rPr/>
      </w:pPr>
      <w:r>
        <w:rPr/>
        <w:t>9.</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proceedings</w:t>
      </w:r>
      <w:r>
        <w:rPr>
          <w:color w:val="FF0000"/>
        </w:rPr>
        <w:t xml:space="preserve"> </w:t>
      </w:r>
      <w:r>
        <w:rPr/>
        <w:t>shall be conducted in English</w:t>
      </w:r>
      <w:r>
        <w:rPr>
          <w:color w:val="FF0000"/>
        </w:rPr>
        <w:t xml:space="preserve"> </w:t>
      </w:r>
      <w:r>
        <w:rPr/>
        <w:t>in New York City, New York, and such arbitration, and any related award shall be confidential.</w:t>
      </w:r>
    </w:p>
    <w:p>
      <w:pPr>
        <w:pStyle w:val="Normal"/>
        <w:jc w:val="both"/>
        <w:rPr/>
      </w:pPr>
      <w:r>
        <w:rPr/>
      </w:r>
    </w:p>
    <w:p>
      <w:pPr>
        <w:pStyle w:val="Normal"/>
        <w:jc w:val="both"/>
        <w:rPr/>
      </w:pPr>
      <w:r>
        <w:rPr/>
        <w:t>10.</w:t>
        <w:tab/>
      </w:r>
      <w:r>
        <w:rPr>
          <w:b/>
          <w:u w:val="single"/>
        </w:rPr>
        <w:t>Confidentiality</w:t>
      </w:r>
      <w:r>
        <w:rPr>
          <w:b/>
        </w:rPr>
        <w:t>.</w:t>
      </w:r>
      <w:r>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11.</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12.</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13.</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14.</w:t>
      </w:r>
      <w:r>
        <w:rPr>
          <w:color w:val="0000FF"/>
        </w:rPr>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t>(g)</w:t>
        <w:tab/>
      </w:r>
      <w:r>
        <w:rPr>
          <w:b/>
        </w:rPr>
        <w:t>ENA.</w:t>
      </w:r>
      <w:r>
        <w:rPr/>
        <w:t xml:space="preserve">  ENA hereby represents and warrants to Counterparty that:</w:t>
      </w:r>
    </w:p>
    <w:p>
      <w:pPr>
        <w:pStyle w:val="BodyTextIndent3"/>
        <w:numPr>
          <w:ilvl w:val="0"/>
          <w:numId w:val="3"/>
        </w:numPr>
        <w:spacing w:lineRule="auto" w:line="240" w:before="240" w:after="0"/>
        <w:rPr>
          <w:sz w:val="20"/>
        </w:rPr>
      </w:pPr>
      <w:r>
        <w:rPr>
          <w:sz w:val="20"/>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0"/>
        </w:rPr>
      </w:pPr>
      <w:r>
        <w:rPr>
          <w:rFonts w:cs="Times New Roman" w:ascii="Times New Roman" w:hAnsi="Times New Roman"/>
          <w:sz w:val="20"/>
        </w:rPr>
      </w:r>
    </w:p>
    <w:p>
      <w:pPr>
        <w:pStyle w:val="Heading2"/>
        <w:numPr>
          <w:ilvl w:val="0"/>
          <w:numId w:val="3"/>
        </w:numPr>
        <w:spacing w:before="0" w:after="0"/>
        <w:rPr>
          <w:rFonts w:ascii="Times New Roman" w:hAnsi="Times New Roman" w:cs="Times New Roman"/>
        </w:rPr>
      </w:pPr>
      <w:r>
        <w:rPr>
          <w:rFonts w:cs="Times New Roman" w:ascii="Times New Roman" w:hAnsi="Times New Roman"/>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3"/>
        </w:numPr>
        <w:spacing w:before="0" w:after="0"/>
        <w:rPr>
          <w:rFonts w:ascii="Times New Roman" w:hAnsi="Times New Roman" w:cs="Times New Roman"/>
        </w:rPr>
      </w:pPr>
      <w:r>
        <w:rPr>
          <w:rFonts w:cs="Times New Roman" w:ascii="Times New Roman" w:hAnsi="Times New Roman"/>
        </w:rPr>
        <w:t>It is legally and financially capable to undertake all of the obligations set forth herein.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5"/>
        </w:numPr>
        <w:spacing w:before="0" w:after="0"/>
        <w:rPr>
          <w:rFonts w:ascii="Times New Roman" w:hAnsi="Times New Roman" w:cs="Times New Roman"/>
        </w:rPr>
      </w:pPr>
      <w:r>
        <w:rPr>
          <w:rFonts w:cs="Times New Roman" w:ascii="Times New Roman" w:hAnsi="Times New Roman"/>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5"/>
        </w:numPr>
        <w:spacing w:before="0" w:after="0"/>
        <w:rPr>
          <w:rFonts w:ascii="Times New Roman" w:hAnsi="Times New Roman" w:cs="Times New Roman"/>
        </w:rPr>
      </w:pPr>
      <w:r>
        <w:rPr>
          <w:rFonts w:cs="Times New Roman" w:ascii="Times New Roman" w:hAnsi="Times New Roman"/>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spacing w:before="0" w:after="0"/>
        <w:rPr/>
      </w:pPr>
      <w:r>
        <w:rPr>
          <w:rFonts w:cs="Times New Roman" w:ascii="Times New Roman" w:hAnsi="Times New Roman"/>
          <w:b/>
        </w:rPr>
        <w:t>Counterparty.</w:t>
      </w:r>
      <w:r>
        <w:rPr>
          <w:rFonts w:cs="Times New Roman" w:ascii="Times New Roman" w:hAnsi="Times New Roman"/>
        </w:rPr>
        <w:t xml:space="preserve">  Counterparty hereby represents and warrants to ENA that:</w:t>
      </w:r>
    </w:p>
    <w:p>
      <w:pPr>
        <w:pStyle w:val="Heading2"/>
        <w:spacing w:before="0" w:after="0"/>
        <w:rPr>
          <w:rFonts w:ascii="Times New Roman" w:hAnsi="Times New Roman" w:cs="Times New Roman"/>
        </w:rPr>
      </w:pPr>
      <w:r>
        <w:rPr>
          <w:rFonts w:cs="Times New Roman" w:ascii="Times New Roman" w:hAnsi="Times New Roman"/>
        </w:rPr>
      </w:r>
    </w:p>
    <w:p>
      <w:pPr>
        <w:pStyle w:val="Heading2"/>
        <w:numPr>
          <w:ilvl w:val="0"/>
          <w:numId w:val="4"/>
        </w:numPr>
        <w:spacing w:before="0" w:after="0"/>
        <w:rPr>
          <w:rFonts w:ascii="Times New Roman" w:hAnsi="Times New Roman" w:cs="Times New Roman"/>
        </w:rPr>
      </w:pPr>
      <w:r>
        <w:rPr>
          <w:rFonts w:cs="Times New Roman" w:ascii="Times New Roman" w:hAnsi="Times New Roman"/>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u w:val="single"/>
        </w:rPr>
        <w:t xml:space="preserve">Registro Publico de Comercio de               </w:t>
      </w:r>
      <w:r>
        <w:rPr>
          <w:rFonts w:cs="Times New Roman" w:ascii="Times New Roman" w:hAnsi="Times New Roman"/>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4"/>
        </w:numPr>
        <w:spacing w:before="0" w:after="0"/>
        <w:rPr>
          <w:rFonts w:ascii="Times New Roman" w:hAnsi="Times New Roman" w:cs="Times New Roman"/>
        </w:rPr>
      </w:pPr>
      <w:r>
        <w:rPr>
          <w:rFonts w:cs="Times New Roman" w:ascii="Times New Roman" w:hAnsi="Times New Roman"/>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It is legally and financially capable to undertake all of the obligations set forth herein.</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rPr>
      </w:pPr>
      <w:r>
        <w:rPr>
          <w:rFonts w:cs="Times New Roman" w:ascii="Times New Roman" w:hAnsi="Times New Roman"/>
        </w:rPr>
      </w:r>
    </w:p>
    <w:p>
      <w:pPr>
        <w:pStyle w:val="Heading2"/>
        <w:numPr>
          <w:ilvl w:val="0"/>
          <w:numId w:val="2"/>
        </w:numPr>
        <w:spacing w:before="0" w:after="0"/>
        <w:rPr>
          <w:rFonts w:ascii="Times New Roman" w:hAnsi="Times New Roman" w:cs="Times New Roman"/>
        </w:rPr>
      </w:pPr>
      <w:r>
        <w:rPr>
          <w:rFonts w:cs="Times New Roman" w:ascii="Times New Roman" w:hAnsi="Times New Roman"/>
        </w:rPr>
        <w:t>All corporate action necessary for the entering into and the execution of this Confirmation has been duly taken.</w:t>
      </w:r>
    </w:p>
    <w:p>
      <w:pPr>
        <w:pStyle w:val="Normal"/>
        <w:jc w:val="both"/>
        <w:rPr>
          <w:rFonts w:ascii="Times New Roman" w:hAnsi="Times New Roman" w:cs="Times New Roman"/>
        </w:rPr>
      </w:pPr>
      <w:r>
        <w:rPr>
          <w:rFonts w:cs="Times New Roman"/>
        </w:rPr>
      </w:r>
    </w:p>
    <w:p>
      <w:pPr>
        <w:pStyle w:val="Normal"/>
        <w:numPr>
          <w:ilvl w:val="0"/>
          <w:numId w:val="2"/>
        </w:numPr>
        <w:jc w:val="both"/>
        <w:rPr/>
      </w:pPr>
      <w:r>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pPr>
      <w:r>
        <w:rPr/>
      </w:r>
    </w:p>
    <w:p>
      <w:pPr>
        <w:pStyle w:val="Normal"/>
        <w:ind w:start="720" w:end="0"/>
        <w:jc w:val="both"/>
        <w:rPr/>
      </w:pPr>
      <w:r>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pPr>
      <w:r>
        <w:rPr/>
      </w:r>
    </w:p>
    <w:p>
      <w:pPr>
        <w:pStyle w:val="Normal"/>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pPr>
      <w:r>
        <w:rPr/>
      </w:r>
    </w:p>
    <w:p>
      <w:pPr>
        <w:pStyle w:val="Heading2"/>
        <w:ind w:hanging="0" w:end="0"/>
        <w:rPr/>
      </w:pPr>
      <w:r>
        <w:rPr>
          <w:rFonts w:cs="Times New Roman" w:ascii="Times New Roman" w:hAnsi="Times New Roman"/>
        </w:rPr>
        <w:t>c)</w:t>
      </w:r>
      <w:r>
        <w:rPr>
          <w:rFonts w:cs="Times New Roman" w:ascii="Times New Roman" w:hAnsi="Times New Roman"/>
          <w:b/>
        </w:rPr>
        <w:t xml:space="preserve"> </w:t>
      </w:r>
      <w:r>
        <w:rPr>
          <w:rFonts w:cs="Times New Roman" w:ascii="Times New Roman" w:hAnsi="Times New Roman"/>
          <w:b/>
          <w:u w:val="single"/>
        </w:rPr>
        <w:t>Authorization.</w:t>
      </w:r>
      <w:r>
        <w:rPr>
          <w:rFonts w:cs="Times New Roman" w:ascii="Times New Roman" w:hAnsi="Times New Roman"/>
        </w:rPr>
        <w:t xml:space="preserve"> For the purpose of Section 4(a) of the ISDA Agreement, upon execution of this Confirmation, Counterparty agrees to deliver to ENA: (A) a certified resolution of its board of directors or other governing body authorizing this Confirmation and the Transaction contemplated hereby, (B) copies of its articles of incorporation and bylaws (or other constituent documents), and (C) a certified copy of a Power of Attorney authorizing a specified person or persons to execute and deliver on its behalf this Confirmation.</w:t>
      </w:r>
    </w:p>
    <w:p>
      <w:pPr>
        <w:pStyle w:val="Normal"/>
        <w:keepNext w:val="true"/>
        <w:rPr>
          <w:rFonts w:ascii="Times New Roman" w:hAnsi="Times New Roman" w:cs="Times New Roman"/>
        </w:rPr>
      </w:pPr>
      <w:r>
        <w:rPr>
          <w:rFonts w:cs="Times New Roman"/>
        </w:rPr>
      </w:r>
    </w:p>
    <w:p>
      <w:pPr>
        <w:pStyle w:val="Normal"/>
        <w:keepNext w:val="true"/>
        <w:rPr/>
      </w:pPr>
      <w:r>
        <w:rPr/>
        <w:t>15.</w:t>
        <w:tab/>
      </w:r>
      <w:r>
        <w:rPr>
          <w:b/>
          <w:u w:val="single"/>
        </w:rPr>
        <w:t>Offices</w:t>
      </w:r>
      <w:r>
        <w:rPr>
          <w:b/>
        </w:rPr>
        <w:t>.</w:t>
      </w:r>
    </w:p>
    <w:p>
      <w:pPr>
        <w:pStyle w:val="Normal"/>
        <w:keepNext w:val="true"/>
        <w:rPr/>
      </w:pPr>
      <w:r>
        <w:rPr/>
      </w:r>
    </w:p>
    <w:p>
      <w:pPr>
        <w:pStyle w:val="BodyText"/>
        <w:keepNext w:val="true"/>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BodyText"/>
        <w:rPr/>
      </w:pPr>
      <w:r>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pPr>
      <w:r>
        <w:rPr/>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color w:val="FF0000"/>
        </w:rPr>
      </w:pPr>
      <w:r>
        <w:rPr>
          <w:b/>
        </w:rPr>
        <w:t>HYSLA S.A. DE C.V.</w:t>
      </w:r>
    </w:p>
    <w:p>
      <w:pPr>
        <w:pStyle w:val="Normal"/>
        <w:keepNext w:val="true"/>
        <w:rPr>
          <w:color w:val="FF0000"/>
        </w:rPr>
      </w:pPr>
      <w:r>
        <w:rPr>
          <w:color w:val="FF0000"/>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Hysla S.A. de C.V. (the “Counterparty”), in connection with the execution and delivery by the Counterparty of a Confirmation dated as of November _____, 1999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tabs>
          <w:tab w:val="clear" w:pos="720"/>
          <w:tab w:val="left" w:pos="1440" w:leader="none"/>
        </w:tabs>
        <w:jc w:val="both"/>
        <w:rPr/>
      </w:pPr>
      <w:r>
        <w:rPr/>
      </w:r>
    </w:p>
    <w:p>
      <w:pPr>
        <w:pStyle w:val="Normal"/>
        <w:keepNext w:val="true"/>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spacing w:lineRule="exact" w:line="240"/>
        <w:jc w:val="center"/>
        <w:rPr>
          <w:b/>
        </w:rPr>
      </w:pPr>
      <w:r>
        <w:rPr>
          <w:b/>
        </w:rPr>
      </w:r>
    </w:p>
    <w:p>
      <w:pPr>
        <w:pStyle w:val="Normal"/>
        <w:keepNext w:val="true"/>
        <w:spacing w:lineRule="exact" w:line="240"/>
        <w:jc w:val="center"/>
        <w:rPr>
          <w:b/>
        </w:rPr>
      </w:pPr>
      <w:r>
        <w:rPr>
          <w:b/>
        </w:rPr>
        <w:t>U.S. WITHHOLDING TAX</w:t>
      </w:r>
    </w:p>
    <w:p>
      <w:pPr>
        <w:pStyle w:val="Normal"/>
        <w:keepNext w:val="true"/>
        <w:spacing w:lineRule="exact" w:line="240"/>
        <w:jc w:val="center"/>
        <w:rPr>
          <w:b/>
        </w:rPr>
      </w:pPr>
      <w:r>
        <w:rPr>
          <w:b/>
        </w:rPr>
      </w:r>
    </w:p>
    <w:p>
      <w:pPr>
        <w:pStyle w:val="Normal"/>
        <w:keepNext w:val="true"/>
        <w:jc w:val="center"/>
        <w:rPr>
          <w:b/>
        </w:rPr>
      </w:pPr>
      <w:r>
        <w:rPr>
          <w:b/>
        </w:rPr>
        <w:t>Party A: Enron North America Corp.</w:t>
      </w:r>
    </w:p>
    <w:p>
      <w:pPr>
        <w:pStyle w:val="Normal"/>
        <w:keepNext w:val="true"/>
        <w:jc w:val="center"/>
        <w:rPr>
          <w:b/>
          <w:color w:val="FF0000"/>
        </w:rPr>
      </w:pPr>
      <w:r>
        <w:rPr>
          <w:b/>
        </w:rPr>
        <w:t>Party B:  Hylsa S.A. de C.V.</w:t>
      </w:r>
    </w:p>
    <w:p>
      <w:pPr>
        <w:pStyle w:val="Normal"/>
        <w:keepNext w:val="true"/>
        <w:jc w:val="center"/>
        <w:rPr>
          <w:b/>
          <w:color w:val="FF0000"/>
        </w:rPr>
      </w:pPr>
      <w:r>
        <w:rPr>
          <w:b/>
          <w:color w:val="FF0000"/>
        </w:rPr>
      </w:r>
    </w:p>
    <w:p>
      <w:pPr>
        <w:pStyle w:val="Normal"/>
        <w:tabs>
          <w:tab w:val="left" w:pos="720" w:leader="none"/>
          <w:tab w:val="left" w:pos="1170" w:leader="none"/>
        </w:tabs>
        <w:spacing w:lineRule="exact" w:line="480"/>
        <w:jc w:val="both"/>
        <w:rPr>
          <w:b/>
        </w:rPr>
      </w:pPr>
      <w:r>
        <w:rPr>
          <w:b/>
        </w:rPr>
        <w:t>I.</w:t>
        <w:tab/>
        <w:t>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and Party B make the following representation:</w:t>
      </w:r>
    </w:p>
    <w:p>
      <w:pPr>
        <w:pStyle w:val="Normal"/>
        <w:spacing w:lineRule="exact" w:line="240" w:before="240" w:after="0"/>
        <w:ind w:start="720" w:end="0"/>
        <w:jc w:val="both"/>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t>"</w:t>
      </w:r>
      <w:r>
        <w:rPr>
          <w:b/>
        </w:rPr>
        <w:t>Specified Treaty</w:t>
      </w:r>
      <w:r>
        <w:rPr/>
        <w:t>" means the income tax treaty between the United States and Mexico.</w:t>
      </w:r>
    </w:p>
    <w:p>
      <w:pPr>
        <w:pStyle w:val="Normal"/>
        <w:spacing w:lineRule="exact" w:line="240" w:before="240" w:after="0"/>
        <w:jc w:val="both"/>
        <w:rPr/>
      </w:pPr>
      <w:r>
        <w:rPr/>
        <w:t>"</w:t>
      </w:r>
      <w:r>
        <w:rPr>
          <w:b/>
        </w:rPr>
        <w:t>Specified Jurisdiction</w:t>
      </w:r>
      <w:r>
        <w:rPr/>
        <w:t>" means, with respect to Party A, Mexico.</w:t>
      </w:r>
    </w:p>
    <w:p>
      <w:pPr>
        <w:pStyle w:val="Normal"/>
        <w:spacing w:lineRule="exact" w:line="240" w:before="240" w:after="0"/>
        <w:jc w:val="both"/>
        <w:rPr/>
      </w:pPr>
      <w:r>
        <w:rPr/>
        <w:t>"</w:t>
      </w:r>
      <w:r>
        <w:rPr>
          <w:b/>
        </w:rPr>
        <w:t>Specified Jurisdiction</w:t>
      </w:r>
      <w:r>
        <w:rPr/>
        <w:t>" means, with respect to Party B, the United States.</w:t>
      </w:r>
    </w:p>
    <w:p>
      <w:pPr>
        <w:pStyle w:val="Normal"/>
        <w:keepNext w:val="true"/>
        <w:spacing w:lineRule="exact" w:line="480"/>
        <w:jc w:val="both"/>
        <w:rPr>
          <w:b/>
        </w:rPr>
      </w:pPr>
      <w:r>
        <w:rPr>
          <w:b/>
        </w:rPr>
        <w:t>II.</w:t>
        <w:tab/>
        <w:t>Agreement to Deliver Documents.</w:t>
      </w:r>
    </w:p>
    <w:p>
      <w:pPr>
        <w:pStyle w:val="Normal"/>
        <w:keepNext w:val="true"/>
        <w:spacing w:lineRule="exact" w:line="240" w:before="240" w:after="0"/>
        <w:jc w:val="both"/>
        <w:rPr/>
      </w:pPr>
      <w:r>
        <w:rPr/>
        <w:t>For the purpose of Section 4(a) of the ISDA Agreement, the Tax forms, documents, or certificates to be delivered are:</w:t>
      </w:r>
    </w:p>
    <w:p>
      <w:pPr>
        <w:pStyle w:val="Normal"/>
        <w:keepNext w:val="true"/>
        <w:spacing w:lineRule="exact" w:line="240" w:before="240" w:after="0"/>
        <w:ind w:hanging="720" w:start="720" w:end="0"/>
        <w:jc w:val="both"/>
        <w:rPr/>
      </w:pPr>
      <w:r>
        <w:rPr/>
        <w:t>(a)</w:t>
        <w:tab/>
        <w:t>Party B agrees to complete (accurately and in a manner reasonably satisfactory to Party A), execute, and deliver to Party A a United States Internal Revenue Service Form 1001,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before="240" w:after="0"/>
        <w:ind w:hanging="720" w:start="720" w:end="0"/>
        <w:jc w:val="both"/>
        <w:rPr/>
      </w:pPr>
      <w:r>
        <w:rPr/>
        <w:t>(b)</w:t>
        <w:tab/>
        <w:t>Party B agrees to complete (accurately and in a manner reasonably satisfactory to Party A), execute, and deliver to Party A a United States Internal Revenue Service Form W-8, or any successor form, (i) before the first Scheduled Payment Date under this Confirmation and the ISDA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Normal"/>
        <w:keepNext w:val="true"/>
        <w:jc w:val="center"/>
        <w:rPr/>
      </w:pPr>
      <w:r>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/mnt/main-storage/datasets/enron-docs/doc/027conf.doc</w:t>
    </w:r>
    <w:r>
      <w:rPr>
        <w:rStyle w:val="PageNumber"/>
        <w:sz w:val="16"/>
      </w:rPr>
      <w:fldChar w:fldCharType="end"/>
    </w:r>
  </w:p>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Normal"/>
      <w:jc w:val="cen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/mnt/main-storage/datasets/enron-docs/doc/027conf.doc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/mnt/main-storage/datasets/enron-docs/doc/027conf.doc</w:t>
    </w:r>
    <w:r>
      <w:rPr>
        <w:rStyle w:val="PageNumber"/>
        <w:sz w:val="16"/>
      </w:rPr>
      <w:fldChar w:fldCharType="end"/>
    </w:r>
  </w:p>
  <w:p>
    <w:pPr>
      <w:pStyle w:val="Footer"/>
      <w:jc w:val="center"/>
      <w:rPr/>
    </w:pPr>
    <w:r>
      <w:rPr>
        <w:rStyle w:val="PageNumber"/>
        <w:sz w:val="20"/>
      </w:rPr>
      <w:t>Exhibit 1</w:t>
    </w:r>
  </w:p>
  <w:p>
    <w:pPr>
      <w:pStyle w:val="Footer"/>
      <w:jc w:val="cen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rPr>
        <w:rStyle w:val="PageNumber"/>
        <w:sz w:val="2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/mnt/main-storage/datasets/enron-docs/doc/027conf.doc</w:t>
    </w:r>
    <w:r>
      <w:rPr>
        <w:rStyle w:val="PageNumber"/>
        <w:sz w:val="16"/>
      </w:rPr>
      <w:fldChar w:fldCharType="end"/>
    </w:r>
  </w:p>
  <w:p>
    <w:pPr>
      <w:pStyle w:val="Footer"/>
      <w:jc w:val="center"/>
      <w:rPr/>
    </w:pPr>
    <w:r>
      <w:rPr>
        <w:rStyle w:val="PageNumber"/>
        <w:sz w:val="20"/>
      </w:rPr>
      <w:t>Exhibit 1</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rPr>
        <w:rStyle w:val="PageNumber"/>
        <w:sz w:val="2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b w:val="fals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1999-11-18T12:45:00Z</dcterms:created>
  <dc:creator>mheard</dc:creator>
  <dc:description/>
  <dc:language>en-CA</dc:language>
  <cp:lastModifiedBy>tjones</cp:lastModifiedBy>
  <cp:lastPrinted>1999-11-18T13:25:00Z</cp:lastPrinted>
  <dcterms:modified xsi:type="dcterms:W3CDTF">1999-11-18T16:56:00Z</dcterms:modified>
  <cp:revision>7</cp:revision>
  <dc:subject/>
  <dc:title>“DEEMED ISDA” CONFIRMATION</dc:title>
</cp:coreProperties>
</file>