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10/26/2000</w:t>
      </w:r>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2000</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CORP., a corporation organized under the law of the State of Oregon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LEHMAN BROTHERS FINANCE S.A., a corporation organized under the law of Switzerland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Lehman Brothers Holdings Inc.</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  However, the words “, or becoming capable at such time of being declared,” as they appear in Section 5(a)(vi) are hereby deleted.</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B, U.S. $100,000,000 (or its equivalent in another currency); and with respect to Party B’s Credit Support Provider, U.S. $100,000,000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 and to any Credit Support Provider or Specified Entity of Party A or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pPr>
      <w:r>
        <w:rPr>
          <w:sz w:val="22"/>
          <w:szCs w:val="22"/>
        </w:rPr>
        <w:t>(g)</w:t>
        <w:tab/>
        <w:t>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that the foregoing action or event shall not constitute a Termination Event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spacing w:lineRule="exact" w:line="240" w:before="240" w:after="0"/>
        <w:ind w:firstLine="720" w:end="0"/>
        <w:jc w:val="both"/>
        <w:rPr>
          <w:color w:val="FF0000"/>
          <w:sz w:val="22"/>
          <w:szCs w:val="22"/>
        </w:rPr>
      </w:pPr>
      <w:r>
        <w:rPr>
          <w:sz w:val="22"/>
          <w:szCs w:val="22"/>
        </w:rPr>
        <w:t>(h)</w:t>
      </w:r>
      <w:r>
        <w:rPr>
          <w:b/>
          <w:bCs/>
          <w:sz w:val="22"/>
          <w:szCs w:val="22"/>
        </w:rPr>
        <w:tab/>
        <w:t>Additional Event of Default.</w:t>
      </w:r>
      <w:r>
        <w:rPr>
          <w:sz w:val="22"/>
          <w:szCs w:val="22"/>
        </w:rPr>
        <w:t xml:space="preserve">  The following will constitute an additional Event of Default for purposes of Section 5(a):</w:t>
      </w:r>
    </w:p>
    <w:p>
      <w:pPr>
        <w:pStyle w:val="Normal"/>
        <w:tabs>
          <w:tab w:val="clear" w:pos="720"/>
          <w:tab w:val="left" w:pos="1440" w:leader="none"/>
        </w:tabs>
        <w:spacing w:lineRule="atLeast" w:line="240" w:before="240" w:after="0"/>
        <w:ind w:hanging="720" w:start="1440" w:end="0"/>
        <w:jc w:val="both"/>
        <w:rPr/>
      </w:pPr>
      <w:r>
        <w:rPr>
          <w:sz w:val="22"/>
          <w:szCs w:val="22"/>
        </w:rPr>
        <w:t>(ix)</w:t>
        <w:tab/>
        <w:t xml:space="preserve">The occurrence of a Material Adverse Change (as hereinafter defined) with respect to Party A or Party B.  "Material Adverse Change" means, (a) with respect to Party A, its Credit Rating is rated below "BBB-" by S&amp;P or it has no Credit Rating from S&amp;P; or      (b) with respect to Party B, its Credit Support Provider’s Credit Rating is rated below “BBB-” by S&amp;P or its Credit Support Provider has no Credit Rating from S&amp;P, </w:t>
      </w:r>
      <w:r>
        <w:rPr>
          <w:sz w:val="22"/>
          <w:szCs w:val="22"/>
          <w:u w:val="single"/>
        </w:rPr>
        <w:t>provided</w:t>
      </w:r>
      <w:r>
        <w:rPr>
          <w:sz w:val="22"/>
          <w:szCs w:val="22"/>
        </w:rPr>
        <w:t xml:space="preserve">, </w:t>
      </w:r>
      <w:r>
        <w:rPr>
          <w:sz w:val="22"/>
          <w:szCs w:val="22"/>
          <w:u w:val="single"/>
        </w:rPr>
        <w:t>however</w:t>
      </w:r>
      <w:r>
        <w:rPr>
          <w:sz w:val="22"/>
          <w:szCs w:val="22"/>
        </w:rPr>
        <w:t>, that the foregoing occurrence shall not constitute an Event of Default so long as in connection with or after such action or event, the party experiencing the Material Adverse Change provides (or causes to be provided) to the other party (“Z”) within two Local Business Days of Z's written demand therefor collateral</w:t>
      </w:r>
      <w:r>
        <w:rPr>
          <w:color w:val="FF0000"/>
          <w:sz w:val="22"/>
          <w:szCs w:val="22"/>
        </w:rPr>
        <w:t xml:space="preserve"> </w:t>
      </w:r>
      <w:r>
        <w:rPr>
          <w:sz w:val="22"/>
          <w:szCs w:val="22"/>
        </w:rPr>
        <w:t>in an amount satisfactory to Z in its sole discretion.</w:t>
      </w:r>
    </w:p>
    <w:p>
      <w:pPr>
        <w:pStyle w:val="BodyTextIndent3"/>
        <w:widowControl/>
        <w:ind w:hanging="720" w:start="1440" w:end="0"/>
        <w:rPr>
          <w:color w:val="808000"/>
          <w:sz w:val="22"/>
          <w:szCs w:val="22"/>
        </w:rPr>
      </w:pPr>
      <w:r>
        <w:rPr>
          <w:color w:val="808000"/>
          <w:sz w:val="22"/>
          <w:szCs w:val="22"/>
        </w:rPr>
      </w:r>
    </w:p>
    <w:p>
      <w:pPr>
        <w:pStyle w:val="Normal"/>
        <w:spacing w:lineRule="exact" w:line="240" w:before="240" w:after="0"/>
        <w:ind w:firstLine="720" w:end="0"/>
        <w:jc w:val="both"/>
        <w:rPr/>
      </w:pPr>
      <w:r>
        <w:rPr>
          <w:sz w:val="22"/>
          <w:szCs w:val="22"/>
        </w:rPr>
        <w:t>(i)</w:t>
      </w:r>
      <w:r>
        <w:rPr>
          <w:b/>
          <w:bCs/>
          <w:sz w:val="22"/>
          <w:szCs w:val="22"/>
        </w:rPr>
        <w:tab/>
        <w:t>“Contractual Currency”</w:t>
      </w:r>
      <w:r>
        <w:rPr>
          <w:sz w:val="22"/>
          <w:szCs w:val="22"/>
        </w:rPr>
        <w:t xml:space="preserve"> unless otherwise specified in a Confirmation, shall mean United States Dollars.</w:t>
      </w:r>
    </w:p>
    <w:p>
      <w:pPr>
        <w:pStyle w:val="Normal"/>
        <w:spacing w:lineRule="exact" w:line="240"/>
        <w:jc w:val="both"/>
        <w:rPr>
          <w:b/>
          <w:bCs/>
          <w:sz w:val="22"/>
          <w:szCs w:val="22"/>
        </w:rPr>
      </w:pPr>
      <w:r>
        <w:rPr>
          <w:b/>
          <w:bCs/>
          <w:sz w:val="22"/>
          <w:szCs w:val="22"/>
        </w:rPr>
      </w:r>
    </w:p>
    <w:p>
      <w:pPr>
        <w:pStyle w:val="Normal"/>
        <w:spacing w:lineRule="exact" w:line="240"/>
        <w:jc w:val="both"/>
        <w:rPr>
          <w:b/>
          <w:bCs/>
          <w:sz w:val="22"/>
          <w:szCs w:val="22"/>
        </w:rPr>
      </w:pPr>
      <w:r>
        <w:rPr>
          <w:b/>
          <w:bCs/>
          <w:sz w:val="22"/>
          <w:szCs w:val="22"/>
        </w:rPr>
        <w:t>Part 2.</w:t>
        <w:tab/>
        <w:t>Tax Representations.</w:t>
      </w:r>
    </w:p>
    <w:p>
      <w:pPr>
        <w:pStyle w:val="Normal"/>
        <w:spacing w:lineRule="exact" w:line="240"/>
        <w:jc w:val="both"/>
        <w:rPr>
          <w:b/>
          <w:bCs/>
          <w:sz w:val="22"/>
          <w:szCs w:val="22"/>
        </w:rPr>
      </w:pPr>
      <w:r>
        <w:rPr>
          <w:b/>
          <w:bCs/>
          <w:sz w:val="22"/>
          <w:szCs w:val="22"/>
        </w:rPr>
      </w:r>
    </w:p>
    <w:p>
      <w:pPr>
        <w:pStyle w:val="Normal"/>
        <w:spacing w:lineRule="exact" w:line="24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ind w:start="720" w:end="0"/>
        <w:jc w:val="both"/>
        <w:rPr>
          <w:sz w:val="22"/>
          <w:szCs w:val="22"/>
        </w:rPr>
      </w:pPr>
      <w:r>
        <w:rPr>
          <w:sz w:val="22"/>
          <w:szCs w:val="22"/>
        </w:rPr>
      </w:r>
    </w:p>
    <w:p>
      <w:pPr>
        <w:pStyle w:val="Normal"/>
        <w:spacing w:lineRule="exact" w:line="24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w:t>
      </w:r>
    </w:p>
    <w:p>
      <w:pPr>
        <w:pStyle w:val="Normal"/>
        <w:spacing w:lineRule="exact" w:line="240"/>
        <w:ind w:hanging="720" w:start="720" w:end="0"/>
        <w:jc w:val="both"/>
        <w:rPr>
          <w:sz w:val="22"/>
          <w:szCs w:val="22"/>
        </w:rPr>
      </w:pPr>
      <w:r>
        <w:rPr>
          <w:sz w:val="22"/>
          <w:szCs w:val="22"/>
        </w:rPr>
      </w:r>
    </w:p>
    <w:p>
      <w:pPr>
        <w:pStyle w:val="Normal"/>
        <w:spacing w:lineRule="exact" w:line="240"/>
        <w:ind w:start="720" w:end="0"/>
        <w:jc w:val="both"/>
        <w:rPr>
          <w:sz w:val="22"/>
          <w:szCs w:val="22"/>
        </w:rPr>
      </w:pPr>
      <w:r>
        <w:rPr>
          <w:sz w:val="22"/>
          <w:szCs w:val="22"/>
        </w:rPr>
        <w:t>Each payment received or to be received by it in connection with this Agreement will be effectively connected with its conduct of a trade or business in the United States.</w:t>
      </w:r>
    </w:p>
    <w:p>
      <w:pPr>
        <w:pStyle w:val="Normal"/>
        <w:spacing w:lineRule="exact" w:line="240"/>
        <w:jc w:val="both"/>
        <w:rPr>
          <w:sz w:val="22"/>
          <w:szCs w:val="22"/>
        </w:rPr>
      </w:pPr>
      <w:r>
        <w:rPr>
          <w:sz w:val="22"/>
          <w:szCs w:val="22"/>
        </w:rPr>
      </w:r>
    </w:p>
    <w:p>
      <w:pPr>
        <w:pStyle w:val="Normal"/>
        <w:spacing w:lineRule="exact" w:line="240"/>
        <w:jc w:val="both"/>
        <w:rPr>
          <w:b/>
          <w:bCs/>
          <w:sz w:val="22"/>
          <w:szCs w:val="22"/>
        </w:rPr>
      </w:pPr>
      <w:r>
        <w:rPr>
          <w:b/>
          <w:bCs/>
          <w:sz w:val="22"/>
          <w:szCs w:val="22"/>
        </w:rPr>
        <w:t>Part 3.</w:t>
        <w:tab/>
        <w:t>Agreement to Deliver Documents.</w:t>
      </w:r>
    </w:p>
    <w:p>
      <w:pPr>
        <w:pStyle w:val="Normal"/>
        <w:spacing w:lineRule="exact" w:line="240" w:before="240" w:after="0"/>
        <w:jc w:val="both"/>
        <w:rPr>
          <w:sz w:val="22"/>
          <w:szCs w:val="22"/>
        </w:rPr>
      </w:pPr>
      <w:r>
        <w:rPr>
          <w:sz w:val="22"/>
          <w:szCs w:val="22"/>
        </w:rPr>
        <w:t>(a)</w:t>
        <w:tab/>
        <w:t>Tax forms, documents, or certificates to be delivered are:</w:t>
      </w:r>
    </w:p>
    <w:p>
      <w:pPr>
        <w:pStyle w:val="Normal"/>
        <w:spacing w:lineRule="exact" w:line="240"/>
        <w:ind w:firstLine="720" w:start="720" w:end="0"/>
        <w:jc w:val="both"/>
        <w:rPr>
          <w:sz w:val="22"/>
          <w:szCs w:val="22"/>
        </w:rPr>
      </w:pPr>
      <w:r>
        <w:rPr>
          <w:sz w:val="22"/>
          <w:szCs w:val="22"/>
        </w:rPr>
      </w:r>
    </w:p>
    <w:p>
      <w:pPr>
        <w:pStyle w:val="BodyTextIndent"/>
        <w:spacing w:before="0" w:after="0"/>
        <w:rPr/>
      </w:pPr>
      <w:r>
        <w:rPr/>
        <w:t>Party B agrees to complete (accurately and in a manner reasonably satisfactory to Party A), execute, and deliver to Party A a United States Internal Revenue Service Form W</w:t>
        <w:noBreakHyphen/>
        <w:t>8ECI, or any successor form, (i) before the first Scheduled Payment Date under this Agreement, and thereafter prior to the first Scheduled Payment date in each third successive taxable year of Party B, (ii) promptly upon reasonable demand by Party A, and (iii) promptly upon learning that any such form previously provided by Party B has become obsolete or incorrect.</w:t>
      </w:r>
    </w:p>
    <w:p>
      <w:pPr>
        <w:pStyle w:val="Normal"/>
        <w:spacing w:lineRule="exact" w:line="240" w:before="240" w:after="0"/>
        <w:jc w:val="both"/>
        <w:rPr/>
      </w:pPr>
      <w:r>
        <w:rPr>
          <w:color w:val="FF0000"/>
          <w:sz w:val="22"/>
          <w:szCs w:val="22"/>
        </w:rPr>
        <w:t xml:space="preserve"> </w:t>
      </w: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FF99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 if such Financial Statement is not available on “EDGAR” or Party A’s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 if such Financial Statement is not available on “EDGAR” or Party A’s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color w:val="FF00FF"/>
                <w:sz w:val="22"/>
                <w:szCs w:val="22"/>
              </w:rPr>
            </w:pPr>
            <w:r>
              <w:rPr>
                <w:sz w:val="22"/>
                <w:szCs w:val="22"/>
              </w:rPr>
              <w:t>Legal opinion in form and substance of Attachment 1 hereto</w:t>
            </w:r>
          </w:p>
        </w:tc>
        <w:tc>
          <w:tcPr>
            <w:tcW w:w="2228" w:type="dxa"/>
            <w:tcBorders/>
          </w:tcPr>
          <w:p>
            <w:pPr>
              <w:pStyle w:val="Normal"/>
              <w:spacing w:lineRule="atLeast" w:line="240" w:before="240" w:after="0"/>
              <w:jc w:val="both"/>
              <w:rPr>
                <w:sz w:val="22"/>
                <w:szCs w:val="22"/>
              </w:rPr>
            </w:pPr>
            <w:r>
              <w:rPr>
                <w:sz w:val="22"/>
                <w:szCs w:val="22"/>
              </w:rPr>
              <w:t>At execution of this Master Agreement</w:t>
            </w:r>
          </w:p>
        </w:tc>
        <w:tc>
          <w:tcPr>
            <w:tcW w:w="1985" w:type="dxa"/>
            <w:tcBorders/>
          </w:tcPr>
          <w:p>
            <w:pPr>
              <w:pStyle w:val="Normal"/>
              <w:spacing w:lineRule="atLeast" w:line="240" w:before="240" w:after="0"/>
              <w:jc w:val="center"/>
              <w:rPr>
                <w:sz w:val="22"/>
                <w:szCs w:val="22"/>
              </w:rPr>
            </w:pPr>
            <w:r>
              <w:rPr>
                <w:sz w:val="22"/>
                <w:szCs w:val="22"/>
              </w:rPr>
              <w:t>No</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 xml:space="preserve">Attn:  </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 xml:space="preserve">Facsimile No.:  </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 xml:space="preserve">Telephone No.:  </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Lehman Brothers Finance S.A.</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Genferstrasse 24</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P.O. Box 311</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CH-8002 Zurich, Switzerland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Financial Controller____________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41-1-287-8825</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41-1-287-8842</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Lehman Brothers Holdings Inc. in favor of Party A as beneficiary thereof in the form attached hereto as </w:t>
      </w:r>
      <w:r>
        <w:rPr>
          <w:sz w:val="22"/>
          <w:szCs w:val="22"/>
          <w:u w:val="single"/>
        </w:rPr>
        <w:t>Exhibit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none, and (ii) Credit Support Provider means in relation to Party B, Lehman Brothers Holdings Inc.</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color w:val="FF0000"/>
          <w:sz w:val="22"/>
          <w:szCs w:val="22"/>
        </w:rPr>
      </w:pPr>
      <w:r>
        <w:rPr>
          <w:color w:val="FF0000"/>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color w:val="FF0000"/>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spacing w:lineRule="exact" w:line="240" w:before="240" w:after="0"/>
        <w:ind w:firstLine="720" w:end="0"/>
        <w:jc w:val="both"/>
        <w:rPr>
          <w:color w:val="FF0000"/>
          <w:sz w:val="22"/>
          <w:szCs w:val="22"/>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Lehman Brothers Inc., having an office in New York City on the date of this Agreement at 3 World Financial Center, New York, New York 10285.</w:t>
      </w:r>
    </w:p>
    <w:p>
      <w:pPr>
        <w:pStyle w:val="Normal"/>
        <w:spacing w:lineRule="exact" w:line="240" w:before="480" w:after="0"/>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color w:val="FF0000"/>
          <w:sz w:val="22"/>
          <w:szCs w:val="22"/>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and the 1996 ISDA Equity Derivatives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adding the following Subsection (c):</w:t>
      </w:r>
    </w:p>
    <w:p>
      <w:pPr>
        <w:pStyle w:val="Normal"/>
        <w:spacing w:lineRule="exact" w:line="240"/>
        <w:ind w:firstLine="630" w:end="0"/>
        <w:jc w:val="both"/>
        <w:rPr>
          <w:sz w:val="22"/>
          <w:szCs w:val="22"/>
        </w:rPr>
      </w:pPr>
      <w:r>
        <w:rPr>
          <w:sz w:val="22"/>
          <w:szCs w:val="22"/>
        </w:rPr>
      </w:r>
    </w:p>
    <w:p>
      <w:pPr>
        <w:pStyle w:val="Normal"/>
        <w:spacing w:lineRule="exact" w:line="240"/>
        <w:ind w:firstLine="720" w:start="720" w:end="0"/>
        <w:jc w:val="both"/>
        <w:rPr>
          <w:sz w:val="22"/>
          <w:szCs w:val="22"/>
        </w:rPr>
      </w:pPr>
      <w:r>
        <w:rPr>
          <w:sz w:val="22"/>
          <w:szCs w:val="22"/>
        </w:rPr>
        <w:t>“</w:t>
      </w:r>
      <w:r>
        <w:rPr>
          <w:sz w:val="22"/>
          <w:szCs w:val="22"/>
        </w:rPr>
        <w:t>(c)  Party A and/or Party B may transfer its rights and obligations under this Agreement, in whole but not in part, to any Affiliate so long as the obligations of such Affiliate are guaranteed by Enron Corp., with respect to Party A, and Lehman Brothers Holdings Inc., with respect to Party B, pursuant to a guaranty substantially similar to the one provided on behalf of Party B hereunder, provided that such transfer will not give rise to a Termination Event or an Event of Default.”</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 xml:space="preserve">(m)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ind w:firstLine="720" w:end="0"/>
        <w:jc w:val="both"/>
        <w:rPr/>
      </w:pPr>
      <w:r>
        <w:rPr>
          <w:sz w:val="22"/>
          <w:szCs w:val="22"/>
        </w:rPr>
        <w:t>(n)</w:t>
        <w:tab/>
      </w:r>
      <w:r>
        <w:rPr>
          <w:b/>
          <w:bCs/>
          <w:sz w:val="22"/>
          <w:szCs w:val="22"/>
        </w:rPr>
        <w:t>Escrow.</w:t>
      </w:r>
      <w:r>
        <w:rPr>
          <w:sz w:val="22"/>
          <w:szCs w:val="22"/>
        </w:rPr>
        <w:t xml:space="preserve">  If, by reason of the time difference between the cities in which payments or deliveries are to be made under Section 2(a)(i) or otherwise, it is not possible for simultaneous payments or deliveries to be made on any date on which both parties are required to make payments or deliveries hereunder, either party may at its option and in its sole discretion notify the other party that payments or deliveries on such date are to be made in escrow.  In such case, the deposit of the payment or delivery due earlier on that date shall be made by 2:00 p.m. (local time at the place for the earlier payment or delivery) on that date with an escrow agent that is a commercial bank, independent of either party, with a minimum net worth of U.S. $100,000,000 or its equivalent in another currency, selected by such notifying party, accompanied by irrevocable payment or delivery instructions (i) to release the deposited payment or delivery to the intended recipient upon receipt by the escrow agent of the required deposit of the corresponding payment or delivery from the intended recipient on the same date accompanied by irrevocable payment or delivery instructions to the same effect, or (ii) if the required deposit of the corresponding payment or delivery is not made on that same date, to return the payment or delivery deposited to the party that paid or delivered into escrow.  The notifying party shall pay the costs of the escrow arrangements and shall cause those arrangements to provide that (A) in the case of a payment obligation under Section 2(a)(i), the intended recipient of the payment due to be deposited first shall be entitled to interest on that deposited payment for each day in the period of its deposit at the rate offered by the escrow agent for that day for overnight deposits in the relevant currency in the office where it holds the deposited payment (at 11:00 a.m. local time on that day) if the payment is not released by 5:00 p.m. local time on the date it is deposited for any reason other than the intended recipient’s failure to make the escrow deposit it was required to make in a timely manner, and (B) in the case of a delivery obligation under Section 2(a)(i), the intended recipient of the delivery due to be deposited first shall be entitled to compensation as and to the extent provided for in the relevant Confirmation or elsewhere in this Agreement if the deposited delivery is not released by 5:00 p.m. local time on the date it is deposited for any reason other than the intended recipient's failure to make the escrow deposit it was required to make in a timely manner.</w:t>
      </w:r>
    </w:p>
    <w:p>
      <w:pPr>
        <w:pStyle w:val="Normal"/>
        <w:spacing w:lineRule="exact" w:line="240" w:before="240" w:after="0"/>
        <w:ind w:firstLine="720" w:end="0"/>
        <w:jc w:val="both"/>
        <w:rPr>
          <w:sz w:val="22"/>
          <w:szCs w:val="22"/>
        </w:rPr>
      </w:pPr>
      <w:r>
        <w:rPr>
          <w:sz w:val="22"/>
        </w:rPr>
        <w:t>(o)</w:t>
        <w:tab/>
      </w:r>
      <w:r>
        <w:rPr>
          <w:b/>
          <w:bCs/>
          <w:sz w:val="22"/>
        </w:rPr>
        <w:t>European Monetary Union.</w:t>
      </w:r>
      <w:r>
        <w:rPr>
          <w:sz w:val="22"/>
        </w:rPr>
        <w:t xml:space="preserve">  The provisions of Annexes 1 to 5 (inclusive) of the EMU Protocol, published by ISDA on May 6, 1998, are hereby incorporated in this Agreement.</w:t>
      </w:r>
    </w:p>
    <w:p>
      <w:pPr>
        <w:pStyle w:val="BodyText"/>
        <w:widowControl/>
        <w:ind w:firstLine="720" w:end="0"/>
        <w:jc w:val="both"/>
        <w:rPr>
          <w:color w:val="0000FF"/>
          <w:sz w:val="22"/>
          <w:szCs w:val="22"/>
        </w:rPr>
      </w:pPr>
      <w:r>
        <w:rPr>
          <w:color w:val="0000FF"/>
          <w:sz w:val="22"/>
          <w:szCs w:val="22"/>
        </w:rPr>
      </w:r>
    </w:p>
    <w:p>
      <w:pPr>
        <w:pStyle w:val="Justified"/>
        <w:widowControl/>
        <w:spacing w:before="0" w:after="0"/>
        <w:rPr>
          <w:rFonts w:ascii="Times New Roman" w:hAnsi="Times New Roman" w:cs="Times New Roman"/>
          <w:color w:val="0000FF"/>
        </w:rPr>
      </w:pPr>
      <w:r>
        <w:rPr>
          <w:rFonts w:cs="Times New Roman" w:ascii="Times New Roman" w:hAnsi="Times New Roman"/>
          <w:color w:val="0000FF"/>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b w:val="false"/>
                <w:bCs w:val="false"/>
                <w:color w:val="800080"/>
              </w:rPr>
            </w:pPr>
            <w:r>
              <w:rPr/>
              <w:t>ENRON CORP.</w:t>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LEHMAN BROTHERS FINANCE S.A.</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880" w:leader="none"/>
        </w:tabs>
        <w:spacing w:lineRule="exact" w:line="240"/>
        <w:ind w:hanging="2880" w:start="2880" w:end="0"/>
        <w:jc w:val="both"/>
        <w:rPr>
          <w:sz w:val="22"/>
          <w:szCs w:val="22"/>
        </w:rPr>
      </w:pPr>
      <w:r>
        <w:rPr>
          <w:sz w:val="22"/>
          <w:szCs w:val="22"/>
        </w:rPr>
      </w:r>
    </w:p>
    <w:p>
      <w:pPr>
        <w:pStyle w:val="Normal"/>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B)</w:t>
      </w:r>
    </w:p>
    <w:p>
      <w:pPr>
        <w:pStyle w:val="Normal"/>
        <w:keepNext w:val="true"/>
        <w:jc w:val="center"/>
        <w:rPr>
          <w:b/>
          <w:bCs/>
          <w:sz w:val="22"/>
          <w:szCs w:val="22"/>
        </w:rPr>
      </w:pPr>
      <w:r>
        <w:rPr>
          <w:b/>
          <w:bCs/>
          <w:sz w:val="22"/>
          <w:szCs w:val="22"/>
        </w:rPr>
        <w:t>ATTACHMENT 1</w:t>
      </w:r>
    </w:p>
    <w:p>
      <w:pPr>
        <w:pStyle w:val="Normal"/>
        <w:keepNext w:val="true"/>
        <w:jc w:val="end"/>
        <w:rPr>
          <w:b/>
          <w:bCs/>
          <w:sz w:val="22"/>
          <w:szCs w:val="22"/>
        </w:rPr>
      </w:pPr>
      <w:r>
        <w:rPr>
          <w:b/>
          <w:bCs/>
          <w:sz w:val="22"/>
          <w:szCs w:val="22"/>
        </w:rPr>
      </w:r>
    </w:p>
    <w:p>
      <w:pPr>
        <w:pStyle w:val="Normal"/>
        <w:jc w:val="end"/>
        <w:rPr>
          <w:sz w:val="22"/>
          <w:szCs w:val="22"/>
        </w:rPr>
      </w:pPr>
      <w:r>
        <w:rPr>
          <w:sz w:val="22"/>
          <w:szCs w:val="22"/>
        </w:rPr>
      </w:r>
    </w:p>
    <w:p>
      <w:pPr>
        <w:pStyle w:val="Heading1"/>
        <w:ind w:hanging="0" w:start="0"/>
        <w:rPr>
          <w:color w:val="000000"/>
        </w:rPr>
      </w:pPr>
      <w:r>
        <w:rPr>
          <w:color w:val="000000"/>
        </w:rPr>
        <w:t>LEGAL OPINION</w:t>
      </w:r>
    </w:p>
    <w:p>
      <w:pPr>
        <w:pStyle w:val="Normal"/>
        <w:rPr>
          <w:color w:val="000000"/>
          <w:sz w:val="22"/>
          <w:szCs w:val="22"/>
        </w:rPr>
      </w:pPr>
      <w:r>
        <w:rPr>
          <w:color w:val="000000"/>
          <w:sz w:val="22"/>
          <w:szCs w:val="22"/>
        </w:rPr>
      </w:r>
    </w:p>
    <w:p>
      <w:pPr>
        <w:pStyle w:val="Normal"/>
        <w:jc w:val="center"/>
        <w:rPr>
          <w:sz w:val="22"/>
          <w:szCs w:val="22"/>
        </w:rPr>
      </w:pPr>
      <w:r>
        <w:rPr>
          <w:sz w:val="22"/>
          <w:szCs w:val="22"/>
        </w:rPr>
        <w:t>[Letterhead of</w:t>
      </w:r>
    </w:p>
    <w:p>
      <w:pPr>
        <w:pStyle w:val="Normal"/>
        <w:jc w:val="center"/>
        <w:rPr>
          <w:sz w:val="22"/>
          <w:szCs w:val="22"/>
        </w:rPr>
      </w:pPr>
      <w:r>
        <w:rPr>
          <w:sz w:val="22"/>
          <w:szCs w:val="22"/>
        </w:rPr>
        <w:t>Counsel to Counterparty]</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t>[Date]</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rPr>
          <w:sz w:val="22"/>
          <w:szCs w:val="22"/>
        </w:rPr>
      </w:pPr>
      <w:r>
        <w:rPr>
          <w:sz w:val="22"/>
          <w:szCs w:val="22"/>
        </w:rPr>
        <w:t>Enron North America Corp.</w:t>
      </w:r>
    </w:p>
    <w:p>
      <w:pPr>
        <w:pStyle w:val="Normal"/>
        <w:rPr>
          <w:sz w:val="22"/>
          <w:szCs w:val="22"/>
        </w:rPr>
      </w:pPr>
      <w:r>
        <w:rPr>
          <w:sz w:val="22"/>
          <w:szCs w:val="22"/>
        </w:rPr>
        <w:t>1400 Smith Street</w:t>
      </w:r>
    </w:p>
    <w:p>
      <w:pPr>
        <w:pStyle w:val="Normal"/>
        <w:rPr>
          <w:sz w:val="22"/>
          <w:szCs w:val="22"/>
        </w:rPr>
      </w:pPr>
      <w:r>
        <w:rPr>
          <w:sz w:val="22"/>
          <w:szCs w:val="22"/>
        </w:rPr>
        <w:t>Houston, Texas  77002</w:t>
      </w:r>
    </w:p>
    <w:p>
      <w:pPr>
        <w:pStyle w:val="Normal"/>
        <w:rPr>
          <w:sz w:val="22"/>
          <w:szCs w:val="22"/>
        </w:rPr>
      </w:pPr>
      <w:r>
        <w:rPr>
          <w:sz w:val="22"/>
          <w:szCs w:val="22"/>
        </w:rPr>
      </w:r>
    </w:p>
    <w:p>
      <w:pPr>
        <w:pStyle w:val="Normal"/>
        <w:rPr>
          <w:sz w:val="22"/>
          <w:szCs w:val="22"/>
        </w:rPr>
      </w:pPr>
      <w:r>
        <w:rPr>
          <w:sz w:val="22"/>
          <w:szCs w:val="22"/>
        </w:rPr>
        <w:t>Dear Sir or Madam:</w:t>
      </w:r>
    </w:p>
    <w:p>
      <w:pPr>
        <w:pStyle w:val="Normal"/>
        <w:rPr>
          <w:sz w:val="22"/>
          <w:szCs w:val="22"/>
        </w:rPr>
      </w:pPr>
      <w:r>
        <w:rPr>
          <w:sz w:val="22"/>
          <w:szCs w:val="22"/>
        </w:rPr>
      </w:r>
    </w:p>
    <w:p>
      <w:pPr>
        <w:pStyle w:val="Normal"/>
        <w:ind w:firstLine="1440" w:end="0"/>
        <w:jc w:val="both"/>
        <w:rPr>
          <w:sz w:val="22"/>
          <w:szCs w:val="22"/>
        </w:rPr>
      </w:pPr>
      <w:r>
        <w:rPr>
          <w:sz w:val="22"/>
          <w:szCs w:val="22"/>
        </w:rPr>
        <w:t>We have acted as counsel to ___________________________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jc w:val="both"/>
        <w:rPr>
          <w:sz w:val="22"/>
          <w:szCs w:val="22"/>
        </w:rPr>
      </w:pPr>
      <w:r>
        <w:rPr>
          <w:sz w:val="22"/>
          <w:szCs w:val="22"/>
        </w:rPr>
      </w:r>
    </w:p>
    <w:p>
      <w:pPr>
        <w:pStyle w:val="Normal"/>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jc w:val="both"/>
        <w:rPr>
          <w:sz w:val="22"/>
          <w:szCs w:val="22"/>
        </w:rPr>
      </w:pPr>
      <w:r>
        <w:rPr>
          <w:sz w:val="22"/>
          <w:szCs w:val="22"/>
        </w:rPr>
      </w:r>
    </w:p>
    <w:p>
      <w:pPr>
        <w:pStyle w:val="Normal"/>
        <w:jc w:val="both"/>
        <w:rPr>
          <w:sz w:val="22"/>
          <w:szCs w:val="22"/>
        </w:rPr>
      </w:pPr>
      <w:r>
        <w:rPr>
          <w:sz w:val="22"/>
          <w:szCs w:val="22"/>
        </w:rPr>
        <w:tab/>
        <w:tab/>
        <w:t>Based upon the foregoing and having regard for such legal considerations as we deem relevant, we are of opinion that:</w:t>
      </w:r>
    </w:p>
    <w:p>
      <w:pPr>
        <w:pStyle w:val="Normal"/>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tabs>
          <w:tab w:val="clear" w:pos="720"/>
          <w:tab w:val="left" w:pos="1440" w:leader="none"/>
        </w:tabs>
        <w:jc w:val="both"/>
        <w:rPr>
          <w:sz w:val="22"/>
          <w:szCs w:val="22"/>
        </w:rPr>
      </w:pPr>
      <w:r>
        <w:rPr>
          <w:sz w:val="22"/>
          <w:szCs w:val="22"/>
        </w:rPr>
      </w:r>
    </w:p>
    <w:p>
      <w:pPr>
        <w:pStyle w:val="Justified"/>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sz w:val="22"/>
          <w:szCs w:val="22"/>
        </w:rPr>
      </w:pPr>
      <w:r>
        <w:rPr>
          <w:sz w:val="22"/>
          <w:szCs w:val="22"/>
        </w:rPr>
      </w:r>
    </w:p>
    <w:p>
      <w:pPr>
        <w:pStyle w:val="Normal"/>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tabs>
          <w:tab w:val="clear" w:pos="720"/>
          <w:tab w:val="left" w:pos="1440" w:leader="none"/>
        </w:tabs>
        <w:rPr>
          <w:sz w:val="22"/>
          <w:szCs w:val="22"/>
        </w:rPr>
      </w:pPr>
      <w:r>
        <w:rPr>
          <w:sz w:val="22"/>
          <w:szCs w:val="22"/>
        </w:rPr>
      </w:r>
    </w:p>
    <w:p>
      <w:pPr>
        <w:pStyle w:val="Normal"/>
        <w:keepNext w:val="true"/>
        <w:jc w:val="end"/>
        <w:rPr>
          <w:sz w:val="22"/>
          <w:szCs w:val="22"/>
        </w:rPr>
      </w:pPr>
      <w:r>
        <w:rPr>
          <w:sz w:val="22"/>
          <w:szCs w:val="22"/>
        </w:rPr>
        <w:t>Very truly yours</w:t>
        <w:tab/>
        <w:tab/>
        <w:tab/>
      </w:r>
    </w:p>
    <w:p>
      <w:pPr>
        <w:pStyle w:val="Normal"/>
        <w:keepNext w:val="true"/>
        <w:jc w:val="end"/>
        <w:rPr>
          <w:color w:val="0000FF"/>
          <w:sz w:val="22"/>
          <w:szCs w:val="22"/>
        </w:rPr>
      </w:pPr>
      <w:r>
        <w:rPr>
          <w:color w:val="0000FF"/>
          <w:sz w:val="22"/>
          <w:szCs w:val="22"/>
        </w:rPr>
      </w:r>
    </w:p>
    <w:p>
      <w:pPr>
        <w:sectPr>
          <w:headerReference w:type="default" r:id="rId3"/>
          <w:footerReference w:type="default" r:id="rId4"/>
          <w:footerReference w:type="first" r:id="rId5"/>
          <w:type w:val="nextPage"/>
          <w:pgSz w:w="12240" w:h="15840"/>
          <w:pgMar w:left="1440" w:right="1440" w:gutter="0" w:header="720" w:top="1440" w:footer="835" w:bottom="1440"/>
          <w:pgNumType w:start="1" w:fmt="decimal"/>
          <w:formProt w:val="false"/>
          <w:textDirection w:val="lrTb"/>
          <w:docGrid w:type="default" w:linePitch="360" w:charSpace="0"/>
        </w:sectPr>
        <w:pStyle w:val="Normal"/>
        <w:jc w:val="center"/>
        <w:rPr>
          <w:color w:val="0000FF"/>
          <w:sz w:val="22"/>
          <w:szCs w:val="22"/>
        </w:rPr>
      </w:pPr>
      <w:r>
        <w:rPr>
          <w:color w:val="0000FF"/>
          <w:sz w:val="22"/>
          <w:szCs w:val="22"/>
        </w:rPr>
      </w:r>
    </w:p>
    <w:p>
      <w:pPr>
        <w:pStyle w:val="Heading"/>
        <w:rPr/>
      </w:pPr>
      <w:r>
        <w:rPr/>
        <w:t>EXHIBIT A</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sz w:val="22"/>
          <w:szCs w:val="22"/>
        </w:rPr>
      </w:pPr>
      <w:r>
        <w:rPr>
          <w:b/>
          <w:bCs/>
          <w:sz w:val="22"/>
          <w:szCs w:val="22"/>
        </w:rPr>
        <w:t>LEHMAN BROTHERS HOLDINGS INC.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xml:space="preserve">, 2000, is made and entered into by LEHMAN BROTHERS HOLDINGS INC, a </w:t>
      </w:r>
      <w:r>
        <w:rPr>
          <w:sz w:val="22"/>
          <w:szCs w:val="22"/>
          <w:u w:val="single"/>
        </w:rPr>
        <w:tab/>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LEHMAN BROTHERS FINANCE S.A., a wholly owned subsidiary of Guarantor (“Counterparty”), and </w:t>
      </w:r>
      <w:r>
        <w:rPr>
          <w:caps/>
          <w:sz w:val="22"/>
          <w:szCs w:val="22"/>
        </w:rPr>
        <w:t>Enron Corp.</w:t>
      </w:r>
      <w:r>
        <w:rPr>
          <w:sz w:val="22"/>
          <w:szCs w:val="22"/>
        </w:rPr>
        <w:t xml:space="preserve">, an Oregon corporation (“Enron”),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sz w:val="22"/>
          <w:szCs w:val="22"/>
        </w:rPr>
      </w:pPr>
      <w:r>
        <w:rPr>
          <w:sz w:val="22"/>
          <w:szCs w:val="22"/>
        </w:rPr>
        <w:t xml:space="preserve">(a)  it is a corporation duly organized and validly existing under the laws of Switzerland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spacing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Header"/>
              <w:keepNext w:val="true"/>
              <w:keepLines/>
              <w:widowControl/>
              <w:tabs>
                <w:tab w:val="clear" w:pos="4320"/>
                <w:tab w:val="clear" w:pos="8640"/>
                <w:tab w:val="right" w:pos="2988" w:leader="none"/>
              </w:tabs>
              <w:spacing w:lineRule="atLeast" w:line="240"/>
              <w:rPr/>
            </w:pPr>
            <w:r>
              <w:rPr/>
              <w:t>Lehman Brothers Holdings Inc.</w:t>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 xml:space="preserve">Attn.:  </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 xml:space="preserve">Fax No.:  </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tab/>
      </w:r>
      <w:r>
        <w:rPr>
          <w:sz w:val="22"/>
          <w:szCs w:val="22"/>
        </w:rPr>
        <w:t>, 2000,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LEHMAN BROTHERS HOLDINGS INC.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/mnt/main-storage/datasets/enron-docs/doc/023ctr_lehman_.doc</w:t>
    </w:r>
    <w:r>
      <w:rPr>
        <w:rStyle w:val="PageNumber"/>
        <w:sz w:val="12"/>
        <w:szCs w:val="16"/>
      </w:rPr>
      <w:fldChar w:fldCharType="end"/>
    </w:r>
    <w:r>
      <mc:AlternateContent>
        <mc:Choice Requires="wps">
          <w:drawing>
            <wp:anchor behindDoc="0" distT="0" distB="0" distL="0" distR="0" simplePos="0" locked="0" layoutInCell="0" allowOverlap="1" relativeHeight="11">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10</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exact" w:line="240"/>
      <w:ind w:hanging="0" w:start="0" w:end="720"/>
      <w:jc w:val="center"/>
    </w:pPr>
    <w:rPr>
      <w:b/>
      <w:bCs/>
      <w:sz w:val="22"/>
      <w:szCs w:val="22"/>
      <w:u w:val="single"/>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2000-10-26T19:04:00Z</dcterms:created>
  <dc:creator>mheard</dc:creator>
  <dc:description/>
  <dc:language>en-CA</dc:language>
  <cp:lastModifiedBy>spanus</cp:lastModifiedBy>
  <cp:lastPrinted>2000-10-27T10:45:00Z</cp:lastPrinted>
  <dcterms:modified xsi:type="dcterms:W3CDTF">2000-10-27T13:17:00Z</dcterms:modified>
  <cp:revision>6</cp:revision>
  <dc:subject/>
  <dc:title>ISDA Multicurrency Agreement</dc:title>
</cp:coreProperties>
</file>