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rPr>
      </w:pPr>
      <w:r>
        <w:rPr>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GAS PIPELINE GROUP</w:t>
      </w:r>
    </w:p>
    <w:p>
      <w:pPr>
        <w:pStyle w:val="Normal"/>
        <w:rPr>
          <w:b/>
          <w:sz w:val="22"/>
        </w:rPr>
      </w:pPr>
      <w:r>
        <w:rPr>
          <w:b/>
          <w:sz w:val="22"/>
        </w:rPr>
      </w:r>
    </w:p>
    <w:p>
      <w:pPr>
        <w:pStyle w:val="Heading"/>
        <w:rPr>
          <w:rFonts w:ascii="CG Times (W1);Times New Roman" w:hAnsi="CG Times (W1);Times New Roman" w:cs="CG Times (W1);Times New Roman"/>
          <w:b w:val="false"/>
          <w:sz w:val="22"/>
        </w:rPr>
      </w:pPr>
      <w:r>
        <w:rPr>
          <w:rFonts w:cs="CG Times (W1);Times New Roman" w:ascii="CG Times (W1);Times New Roman" w:hAnsi="CG Times (W1);Times New Roman"/>
          <w:b w:val="false"/>
          <w:sz w:val="22"/>
        </w:rPr>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300" w:hRule="exact"/>
        </w:trPr>
        <w:tc>
          <w:tcPr>
            <w:tcW w:w="1170" w:type="dxa"/>
            <w:tcBorders/>
          </w:tcPr>
          <w:p>
            <w:pPr>
              <w:pStyle w:val="Normal"/>
              <w:ind w:start="134" w:end="0"/>
              <w:rPr>
                <w:rFonts w:ascii="CG Times (W1);Times New Roman" w:hAnsi="CG Times (W1);Times New Roman" w:cs="CG Times (W1);Times New Roman"/>
              </w:rPr>
            </w:pPr>
            <w:r>
              <w:rPr>
                <w:rFonts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cs="CG Times (W1);Times New Roman"/>
                <w:sz w:val="24"/>
              </w:rPr>
            </w:pPr>
            <w:bookmarkStart w:id="0" w:name="to"/>
            <w:bookmarkEnd w:id="0"/>
            <w:r>
              <w:rPr>
                <w:rFonts w:cs="CG Times (W1);Times New Roman" w:ascii="CG Times (W1);Times New Roman" w:hAnsi="CG Times (W1);Times New Roman"/>
                <w:sz w:val="24"/>
              </w:rPr>
              <w:t>Business Standards Meeting Attendees</w:t>
            </w:r>
          </w:p>
          <w:p>
            <w:pPr>
              <w:pStyle w:val="To"/>
              <w:rPr>
                <w:rFonts w:ascii="CG Times (W1);Times New Roman" w:hAnsi="CG Times (W1);Times New Roman" w:cs="CG Times (W1);Times New Roman"/>
                <w:sz w:val="24"/>
              </w:rPr>
            </w:pPr>
            <w:r>
              <w:rPr>
                <w:rFonts w:cs="CG Times (W1);Times New Roman" w:ascii="CG Times (W1);Times New Roman" w:hAnsi="CG Times (W1);Times New Roman"/>
                <w:sz w:val="24"/>
              </w:rPr>
            </w:r>
          </w:p>
        </w:tc>
        <w:tc>
          <w:tcPr>
            <w:tcW w:w="1418" w:type="dxa"/>
            <w:tcBorders/>
          </w:tcPr>
          <w:p>
            <w:pPr>
              <w:pStyle w:val="Normal"/>
              <w:snapToGrid w:val="false"/>
              <w:ind w:start="-180" w:end="0"/>
              <w:rPr>
                <w:rFonts w:ascii="CG Times (W1);Times New Roman" w:hAnsi="CG Times (W1);Times New Roman" w:cs="CG Times (W1);Times New Roman"/>
                <w:sz w:val="24"/>
              </w:rPr>
            </w:pPr>
            <w:r>
              <w:rPr>
                <w:rFonts w:cs="CG Times (W1);Times New Roman" w:ascii="CG Times (W1);Times New Roman" w:hAnsi="CG Times (W1);Times New Roman"/>
                <w:sz w:val="24"/>
              </w:rPr>
            </w:r>
          </w:p>
        </w:tc>
        <w:tc>
          <w:tcPr>
            <w:tcW w:w="2633"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r>
      <w:tr>
        <w:trPr>
          <w:trHeight w:val="216" w:hRule="exact"/>
        </w:trPr>
        <w:tc>
          <w:tcPr>
            <w:tcW w:w="1170" w:type="dxa"/>
            <w:tcBorders/>
          </w:tcPr>
          <w:p>
            <w:pPr>
              <w:pStyle w:val="Normal"/>
              <w:snapToGrid w:val="false"/>
              <w:ind w:start="-180" w:end="0"/>
              <w:jc w:val="end"/>
              <w:rPr>
                <w:rFonts w:ascii="CG Times (W1);Times New Roman" w:hAnsi="CG Times (W1);Times New Roman" w:cs="CG Times (W1);Times New Roman"/>
              </w:rPr>
            </w:pPr>
            <w:r>
              <w:rPr>
                <w:rFonts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cs="CG Times (W1);Times New Roman"/>
              </w:rPr>
            </w:pPr>
            <w:r>
              <w:rPr>
                <w:rFonts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r>
      <w:tr>
        <w:trPr>
          <w:trHeight w:val="300" w:hRule="exact"/>
        </w:trPr>
        <w:tc>
          <w:tcPr>
            <w:tcW w:w="1170" w:type="dxa"/>
            <w:tcBorders/>
          </w:tcPr>
          <w:p>
            <w:pPr>
              <w:pStyle w:val="Normal"/>
              <w:ind w:firstLine="28" w:start="134" w:end="0"/>
              <w:rPr>
                <w:rFonts w:ascii="CG Times (W1);Times New Roman" w:hAnsi="CG Times (W1);Times New Roman" w:cs="CG Times (W1);Times New Roman"/>
              </w:rPr>
            </w:pPr>
            <w:r>
              <w:rPr>
                <w:rFonts w:cs="CG Times (W1);Times New Roman" w:ascii="CG Times (W1);Times New Roman" w:hAnsi="CG Times (W1);Times New Roman"/>
              </w:rPr>
              <w:t>From:</w:t>
            </w:r>
          </w:p>
        </w:tc>
        <w:tc>
          <w:tcPr>
            <w:tcW w:w="4230" w:type="dxa"/>
            <w:tcBorders/>
          </w:tcPr>
          <w:p>
            <w:pPr>
              <w:pStyle w:val="From"/>
              <w:rPr>
                <w:rFonts w:ascii="CG Times (W1);Times New Roman" w:hAnsi="CG Times (W1);Times New Roman" w:cs="CG Times (W1);Times New Roman"/>
                <w:sz w:val="24"/>
              </w:rPr>
            </w:pPr>
            <w:r>
              <w:rPr>
                <w:rFonts w:cs="CG Times (W1);Times New Roman" w:ascii="CG Times (W1);Times New Roman" w:hAnsi="CG Times (W1);Times New Roman"/>
                <w:sz w:val="24"/>
              </w:rPr>
              <w:t>Theresa Hess/Tammy Hopkins</w:t>
            </w:r>
          </w:p>
        </w:tc>
        <w:tc>
          <w:tcPr>
            <w:tcW w:w="1418" w:type="dxa"/>
            <w:tcBorders/>
          </w:tcPr>
          <w:p>
            <w:pPr>
              <w:pStyle w:val="Normal"/>
              <w:ind w:start="-180" w:end="0"/>
              <w:jc w:val="end"/>
              <w:rPr>
                <w:rFonts w:ascii="CG Times (W1);Times New Roman" w:hAnsi="CG Times (W1);Times New Roman" w:cs="CG Times (W1);Times New Roman"/>
              </w:rPr>
            </w:pPr>
            <w:r>
              <w:rPr>
                <w:rFonts w:cs="CG Times (W1);Times New Roman" w:ascii="CG Times (W1);Times New Roman" w:hAnsi="CG Times (W1);Times New Roman"/>
              </w:rPr>
              <w:t>Dept:</w:t>
            </w:r>
          </w:p>
        </w:tc>
        <w:tc>
          <w:tcPr>
            <w:tcW w:w="2633" w:type="dxa"/>
            <w:tcBorders/>
          </w:tcPr>
          <w:p>
            <w:pPr>
              <w:pStyle w:val="Department"/>
              <w:rPr>
                <w:rFonts w:ascii="CG Times (W1);Times New Roman" w:hAnsi="CG Times (W1);Times New Roman" w:cs="CG Times (W1);Times New Roman"/>
                <w:sz w:val="24"/>
              </w:rPr>
            </w:pPr>
            <w:bookmarkStart w:id="1" w:name="From"/>
            <w:bookmarkEnd w:id="1"/>
            <w:r>
              <w:rPr>
                <w:rFonts w:cs="CG Times (W1);Times New Roman" w:ascii="CG Times (W1);Times New Roman" w:hAnsi="CG Times (W1);Times New Roman"/>
                <w:sz w:val="24"/>
              </w:rPr>
              <w:t>GPG Regulatory Affairs</w:t>
            </w:r>
          </w:p>
        </w:tc>
      </w:tr>
      <w:tr>
        <w:trPr>
          <w:trHeight w:val="216" w:hRule="exact"/>
        </w:trPr>
        <w:tc>
          <w:tcPr>
            <w:tcW w:w="1170" w:type="dxa"/>
            <w:tcBorders/>
          </w:tcPr>
          <w:p>
            <w:pPr>
              <w:pStyle w:val="Normal"/>
              <w:snapToGrid w:val="false"/>
              <w:ind w:start="-180" w:end="0"/>
              <w:jc w:val="end"/>
              <w:rPr>
                <w:rFonts w:ascii="CG Times (W1);Times New Roman" w:hAnsi="CG Times (W1);Times New Roman" w:cs="CG Times (W1);Times New Roman"/>
                <w:sz w:val="24"/>
              </w:rPr>
            </w:pPr>
            <w:r>
              <w:rPr>
                <w:rFonts w:cs="CG Times (W1);Times New Roman" w:ascii="CG Times (W1);Times New Roman" w:hAnsi="CG Times (W1);Times New Roman"/>
                <w:sz w:val="24"/>
              </w:rPr>
            </w:r>
          </w:p>
        </w:tc>
        <w:tc>
          <w:tcPr>
            <w:tcW w:w="4230"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cs="CG Times (W1);Times New Roman"/>
              </w:rPr>
            </w:pPr>
            <w:r>
              <w:rPr>
                <w:rFonts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r>
      <w:tr>
        <w:trPr>
          <w:trHeight w:val="391" w:hRule="exac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rPr>
            </w:pPr>
            <w:r>
              <w:rPr>
                <w:rFonts w:cs="CG Times (W1);Times New Roman" w:ascii="CG Times (W1);Times New Roman" w:hAnsi="CG Times (W1);Times New Roman"/>
              </w:rPr>
              <w:t>Subject:</w:t>
            </w:r>
          </w:p>
        </w:tc>
        <w:tc>
          <w:tcPr>
            <w:tcW w:w="4230" w:type="dxa"/>
            <w:tcBorders>
              <w:bottom w:val="single" w:sz="18" w:space="0" w:color="000000"/>
            </w:tcBorders>
          </w:tcPr>
          <w:p>
            <w:pPr>
              <w:pStyle w:val="Normal"/>
              <w:rPr>
                <w:rFonts w:ascii="CG Times" w:hAnsi="CG Times" w:cs="CG Times"/>
                <w:b/>
              </w:rPr>
            </w:pPr>
            <w:bookmarkStart w:id="2" w:name="Subject"/>
            <w:bookmarkEnd w:id="2"/>
            <w:r>
              <w:rPr>
                <w:rFonts w:cs="CG Times" w:ascii="CG Times" w:hAnsi="CG Times"/>
                <w:b/>
              </w:rPr>
              <w:t>GISB Highlights</w:t>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rPr>
            </w:pPr>
            <w:r>
              <w:rPr>
                <w:rFonts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cs="CG Times (W1);Times New Roman"/>
                <w:sz w:val="24"/>
              </w:rPr>
            </w:pPr>
            <w:r>
              <w:rPr>
                <w:rFonts w:cs="CG Times (W1);Times New Roman" w:ascii="CG Times (W1);Times New Roman" w:hAnsi="CG Times (W1);Times New Roman"/>
                <w:sz w:val="24"/>
              </w:rPr>
              <w:t>February 23, 2000</w:t>
            </w:r>
          </w:p>
        </w:tc>
      </w:tr>
    </w:tbl>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jc w:val="both"/>
        <w:rPr>
          <w:rFonts w:ascii="CG Times" w:hAnsi="CG Times" w:cs="CG Times"/>
          <w:b/>
          <w:u w:val="single"/>
        </w:rPr>
      </w:pPr>
      <w:r>
        <w:rPr>
          <w:rFonts w:cs="CG Times" w:ascii="CG Times" w:hAnsi="CG Times"/>
          <w:b/>
          <w:u w:val="single"/>
        </w:rPr>
        <w:t>GISB Executive Committee (EC) Meeting</w:t>
      </w:r>
    </w:p>
    <w:p>
      <w:pPr>
        <w:pStyle w:val="Normal"/>
        <w:jc w:val="both"/>
        <w:rPr>
          <w:rFonts w:ascii="CG Times" w:hAnsi="CG Times" w:cs="CG Times"/>
          <w:b/>
          <w:u w:val="single"/>
        </w:rPr>
      </w:pPr>
      <w:r>
        <w:rPr>
          <w:rFonts w:cs="CG Times" w:ascii="CG Times" w:hAnsi="CG Times"/>
          <w:b/>
          <w:u w:val="single"/>
        </w:rPr>
      </w:r>
    </w:p>
    <w:p>
      <w:pPr>
        <w:pStyle w:val="Normal"/>
        <w:ind w:hanging="360" w:start="360" w:end="0"/>
        <w:jc w:val="both"/>
        <w:rPr/>
      </w:pPr>
      <w:r>
        <w:rPr>
          <w:rFonts w:eastAsia="MT Extra" w:cs="MT Extra" w:ascii="MT Extra" w:hAnsi="MT Extra"/>
          <w:b/>
        </w:rPr>
        <w:sym w:font="MT Extra" w:char="f03e"/>
      </w:r>
      <w:r>
        <w:rPr>
          <w:rFonts w:cs="CG Times" w:ascii="CG Times" w:hAnsi="CG Times"/>
        </w:rPr>
        <w:tab/>
        <w:t>The Enron Gas Pipeline Group submitted two requests.  One of these requests addresses security for the Customer Activities Web sites, which is also a GISB 2000 Annual Plan item.  The other request addresses the use of XML, which can be used for data sets that are communicated in a batch mode or via Web pages.  Both requests were voted in scope and were assigned to the Electronic Delivery Mechanism Subcommittee.</w:t>
      </w:r>
    </w:p>
    <w:p>
      <w:pPr>
        <w:pStyle w:val="Normal"/>
        <w:ind w:hanging="360" w:start="360" w:end="0"/>
        <w:jc w:val="both"/>
        <w:rPr>
          <w:rFonts w:ascii="CG Times" w:hAnsi="CG Times" w:cs="CG Times"/>
        </w:rPr>
      </w:pPr>
      <w:r>
        <w:rPr>
          <w:rFonts w:cs="CG Times" w:ascii="CG Times" w:hAnsi="CG Times"/>
        </w:rPr>
      </w:r>
    </w:p>
    <w:p>
      <w:pPr>
        <w:pStyle w:val="Normal"/>
        <w:ind w:hanging="360" w:start="360" w:end="0"/>
        <w:jc w:val="both"/>
        <w:rPr/>
      </w:pPr>
      <w:r>
        <w:rPr>
          <w:rFonts w:eastAsia="MT Extra" w:cs="MT Extra" w:ascii="MT Extra" w:hAnsi="MT Extra"/>
          <w:b/>
        </w:rPr>
        <w:sym w:font="MT Extra" w:char="f03e"/>
      </w:r>
      <w:r>
        <w:rPr>
          <w:rFonts w:cs="CG Times" w:ascii="CG Times" w:hAnsi="CG Times"/>
          <w:b/>
        </w:rPr>
        <w:tab/>
      </w:r>
      <w:r>
        <w:rPr>
          <w:rFonts w:cs="CG Times" w:ascii="CG Times" w:hAnsi="CG Times"/>
        </w:rPr>
        <w:t>Dynegy had submitted a request for changes to the posting of operationally available capacity.  The subcommittee recommendations were adopted by the EC.  The key items are the timing of this information and the level of detail (point, segment or zone).  Implementation of these changes will have minimal impact on GPG’s current posting of operationally available capacity.  These standards were adopted by the EC prior to FERC issuing Order No. 637.</w:t>
      </w:r>
    </w:p>
    <w:p>
      <w:pPr>
        <w:pStyle w:val="Normal"/>
        <w:ind w:hanging="360" w:start="360" w:end="0"/>
        <w:jc w:val="both"/>
        <w:rPr>
          <w:rFonts w:ascii="CG Times" w:hAnsi="CG Times" w:cs="CG Times"/>
        </w:rPr>
      </w:pPr>
      <w:r>
        <w:rPr>
          <w:rFonts w:cs="CG Times" w:ascii="CG Times" w:hAnsi="CG Times"/>
        </w:rPr>
      </w:r>
    </w:p>
    <w:p>
      <w:pPr>
        <w:pStyle w:val="Normal"/>
        <w:ind w:hanging="360" w:start="360" w:end="0"/>
        <w:jc w:val="both"/>
        <w:rPr/>
      </w:pPr>
      <w:r>
        <w:rPr>
          <w:rFonts w:eastAsia="MT Extra" w:cs="MT Extra" w:ascii="MT Extra" w:hAnsi="MT Extra"/>
          <w:b/>
        </w:rPr>
        <w:sym w:font="MT Extra" w:char="f03e"/>
      </w:r>
      <w:r>
        <w:rPr>
          <w:rFonts w:cs="CG Times" w:ascii="CG Times" w:hAnsi="CG Times"/>
        </w:rPr>
        <w:tab/>
        <w:t>There was discussion about the backlog of work that is in the Information Requirements Subcommittee (IR).  This is the group that reviews all recommendations from the various subcommittees and defines the implementation for EDI, flat files and Web sites.  As an interim solution, an additional subcommittee has been established to address the recommendations from the Title Transfer Tracking (TTT) and Imbalance Trading/Netting Subcommittees.  This new subcommittee will be co-chaired by Theresa Hess (GPG) and Sylvia Munson (Altra).</w:t>
      </w:r>
    </w:p>
    <w:p>
      <w:pPr>
        <w:pStyle w:val="Normal"/>
        <w:ind w:hanging="360" w:start="360" w:end="0"/>
        <w:jc w:val="both"/>
        <w:rPr>
          <w:rFonts w:ascii="CG Times" w:hAnsi="CG Times" w:cs="CG Times"/>
        </w:rPr>
      </w:pPr>
      <w:r>
        <w:rPr>
          <w:rFonts w:cs="CG Times" w:ascii="CG Times" w:hAnsi="CG Times"/>
        </w:rPr>
      </w:r>
    </w:p>
    <w:p>
      <w:pPr>
        <w:pStyle w:val="Normal"/>
        <w:ind w:hanging="360" w:start="360" w:end="0"/>
        <w:jc w:val="both"/>
        <w:rPr/>
      </w:pPr>
      <w:r>
        <w:rPr>
          <w:rFonts w:eastAsia="MT Extra" w:cs="MT Extra" w:ascii="MT Extra" w:hAnsi="MT Extra"/>
          <w:b/>
        </w:rPr>
        <w:sym w:font="MT Extra" w:char="f03e"/>
      </w:r>
      <w:r>
        <w:rPr>
          <w:rFonts w:cs="CG Times" w:ascii="CG Times" w:hAnsi="CG Times"/>
        </w:rPr>
        <w:tab/>
        <w:t>The EC assigned GISB 2000 Annual Plan items to the appropriate subcommittees.  All of these items will be addressed by the Electronic Delivery Mechanism Subcommittee, except the following items which will be addressed by the Contracts Subcommittee:</w:t>
      </w:r>
    </w:p>
    <w:p>
      <w:pPr>
        <w:pStyle w:val="Normal"/>
        <w:ind w:hanging="360" w:start="1080" w:end="0"/>
        <w:jc w:val="both"/>
        <w:rPr>
          <w:rFonts w:ascii="CG Times" w:hAnsi="CG Times" w:cs="CG Times"/>
        </w:rPr>
      </w:pPr>
      <w:r>
        <w:rPr>
          <w:rFonts w:cs="CG Times" w:ascii="CG Times" w:hAnsi="CG Times"/>
        </w:rPr>
      </w:r>
    </w:p>
    <w:p>
      <w:pPr>
        <w:pStyle w:val="Normal"/>
        <w:ind w:hanging="360" w:start="1080" w:end="0"/>
        <w:jc w:val="both"/>
        <w:rPr>
          <w:rFonts w:ascii="CG Times" w:hAnsi="CG Times" w:cs="CG Times"/>
        </w:rPr>
      </w:pPr>
      <w:r>
        <w:rPr>
          <w:rFonts w:cs="CG Times" w:ascii="CG Times" w:hAnsi="CG Times"/>
        </w:rPr>
        <w:t>1)</w:t>
        <w:tab/>
        <w:t>Develop an electronic contract from the short-term base contract for purchase and sales of natural gas.</w:t>
      </w:r>
    </w:p>
    <w:p>
      <w:pPr>
        <w:pStyle w:val="Normal"/>
        <w:ind w:hanging="360" w:start="1080" w:end="0"/>
        <w:jc w:val="both"/>
        <w:rPr>
          <w:rFonts w:ascii="CG Times" w:hAnsi="CG Times" w:cs="CG Times"/>
        </w:rPr>
      </w:pPr>
      <w:r>
        <w:rPr>
          <w:rFonts w:cs="CG Times" w:ascii="CG Times" w:hAnsi="CG Times"/>
        </w:rPr>
        <w:t>2)</w:t>
        <w:tab/>
        <w:t>Modify the short-term base contract for purchase and sales of natural gas.</w:t>
      </w:r>
    </w:p>
    <w:p>
      <w:pPr>
        <w:pStyle w:val="Normal"/>
        <w:ind w:hanging="360" w:start="1080" w:end="0"/>
        <w:jc w:val="both"/>
        <w:rPr>
          <w:rFonts w:ascii="CG Times" w:hAnsi="CG Times" w:cs="CG Times"/>
        </w:rPr>
      </w:pPr>
      <w:r>
        <w:rPr>
          <w:rFonts w:cs="CG Times" w:ascii="CG Times" w:hAnsi="CG Times"/>
        </w:rPr>
        <w:t>3)</w:t>
        <w:tab/>
        <w:t>Develop a Standard/Model long-term base contract for purchase and sales of natural gas.</w:t>
      </w:r>
    </w:p>
    <w:p>
      <w:pPr>
        <w:pStyle w:val="Normal"/>
        <w:ind w:hanging="360" w:start="1080" w:end="0"/>
        <w:jc w:val="both"/>
        <w:rPr>
          <w:rFonts w:ascii="CG Times" w:hAnsi="CG Times" w:cs="CG Times"/>
        </w:rPr>
      </w:pPr>
      <w:r>
        <w:rPr>
          <w:rFonts w:cs="CG Times" w:ascii="CG Times" w:hAnsi="CG Times"/>
        </w:rPr>
      </w:r>
    </w:p>
    <w:p>
      <w:pPr>
        <w:pStyle w:val="Normal"/>
        <w:ind w:hanging="360" w:start="360" w:end="0"/>
        <w:jc w:val="both"/>
        <w:rPr>
          <w:rFonts w:ascii="CG Times" w:hAnsi="CG Times" w:cs="CG Times"/>
        </w:rPr>
      </w:pPr>
      <w:r>
        <w:rPr>
          <w:rFonts w:cs="CG Times" w:ascii="CG Times" w:hAnsi="CG Times"/>
        </w:rPr>
        <w:tab/>
        <w:t>Two items regarding retail market standards appear on the plan.  However, they have not been adopted by the GISB Board and, therefore, are not yet part of the plan.  The adoption of these items is delayed until after the March 2 report to the Board.</w:t>
      </w:r>
    </w:p>
    <w:p>
      <w:pPr>
        <w:pStyle w:val="Normal"/>
        <w:ind w:hanging="360" w:start="360" w:end="0"/>
        <w:jc w:val="both"/>
        <w:rPr>
          <w:rFonts w:ascii="CG Times" w:hAnsi="CG Times" w:cs="CG Times"/>
        </w:rPr>
      </w:pPr>
      <w:r>
        <w:rPr>
          <w:rFonts w:cs="CG Times" w:ascii="CG Times" w:hAnsi="CG Times"/>
        </w:rPr>
      </w:r>
    </w:p>
    <w:p>
      <w:pPr>
        <w:pStyle w:val="Normal"/>
        <w:ind w:hanging="360" w:start="360" w:end="0"/>
        <w:jc w:val="both"/>
        <w:rPr/>
      </w:pPr>
      <w:r>
        <w:rPr>
          <w:rFonts w:eastAsia="MT Extra" w:cs="MT Extra" w:ascii="MT Extra" w:hAnsi="MT Extra"/>
          <w:b/>
        </w:rPr>
        <w:sym w:font="MT Extra" w:char="f03e"/>
      </w:r>
      <w:r>
        <w:rPr>
          <w:rFonts w:cs="CG Times" w:ascii="CG Times" w:hAnsi="CG Times"/>
        </w:rPr>
        <w:tab/>
        <w:t>At the November EC meeting, the proposed standards from the Confirmations and Cross-Contract Ranking Subcommittee failed.  The EC was asked to reconsider these proposed standards at this meeting.  These proposed standards were not voted on at this meeting because the different segments were not willing to compromise their previous positions.  However, the EC did vote that this matter is resolved.  This will be reported to FERC in the next GISB quarterly update.</w:t>
      </w:r>
    </w:p>
    <w:p>
      <w:pPr>
        <w:pStyle w:val="Normal"/>
        <w:ind w:hanging="360" w:start="360" w:end="0"/>
        <w:jc w:val="both"/>
        <w:rPr>
          <w:rFonts w:ascii="CG Times" w:hAnsi="CG Times" w:cs="CG Times"/>
        </w:rPr>
      </w:pPr>
      <w:r>
        <w:rPr>
          <w:rFonts w:cs="CG Times" w:ascii="CG Times" w:hAnsi="CG Times"/>
        </w:rPr>
      </w:r>
    </w:p>
    <w:p>
      <w:pPr>
        <w:pStyle w:val="BodyTextIndent"/>
        <w:rPr/>
      </w:pPr>
      <w:r>
        <w:rPr>
          <w:rFonts w:eastAsia="MT Extra" w:cs="MT Extra" w:ascii="MT Extra" w:hAnsi="MT Extra"/>
        </w:rPr>
        <w:sym w:font="MT Extra" w:char="f03e"/>
      </w:r>
      <w:r>
        <w:rPr>
          <w:rFonts w:cs="CG Times" w:ascii="CG Times" w:hAnsi="CG Times"/>
        </w:rPr>
        <w:tab/>
        <w:t>The Future Technology Task Force’s (FTTF) recommendation to revise the minimum level of JDK failed the vote at the EC.  Instead, the EC instructed the FTTF to address versioning as a whole.  That is, they will address the implications of revising software versions, and how and when GISB will revise software versions that are listed in the standards books.  The resolution will be reflected in the next publication of the GISB standards.</w:t>
      </w:r>
    </w:p>
    <w:p>
      <w:pPr>
        <w:pStyle w:val="Normal"/>
        <w:ind w:hanging="360" w:start="360" w:end="0"/>
        <w:jc w:val="both"/>
        <w:rPr>
          <w:rFonts w:ascii="CG Times" w:hAnsi="CG Times" w:cs="CG Times"/>
        </w:rPr>
      </w:pPr>
      <w:r>
        <w:rPr>
          <w:rFonts w:cs="CG Times" w:ascii="CG Times" w:hAnsi="CG Times"/>
        </w:rPr>
      </w:r>
    </w:p>
    <w:p>
      <w:pPr>
        <w:pStyle w:val="Normal"/>
        <w:ind w:hanging="360" w:start="360" w:end="0"/>
        <w:jc w:val="both"/>
        <w:rPr>
          <w:rFonts w:ascii="CG Times" w:hAnsi="CG Times" w:cs="CG Times"/>
        </w:rPr>
      </w:pPr>
      <w:r>
        <w:rPr>
          <w:rFonts w:cs="CG Times" w:ascii="CG Times" w:hAnsi="CG Times"/>
        </w:rPr>
      </w:r>
    </w:p>
    <w:p>
      <w:pPr>
        <w:pStyle w:val="Normal"/>
        <w:ind w:hanging="360" w:start="360" w:end="0"/>
        <w:jc w:val="both"/>
        <w:rPr>
          <w:rFonts w:ascii="CG Times" w:hAnsi="CG Times" w:cs="CG Times"/>
          <w:b/>
          <w:u w:val="single"/>
        </w:rPr>
      </w:pPr>
      <w:r>
        <w:rPr>
          <w:rFonts w:cs="CG Times" w:ascii="CG Times" w:hAnsi="CG Times"/>
          <w:b/>
          <w:u w:val="single"/>
        </w:rPr>
        <w:t>Other GISB/GPG Items</w:t>
      </w:r>
    </w:p>
    <w:p>
      <w:pPr>
        <w:pStyle w:val="Normal"/>
        <w:ind w:hanging="360" w:start="360" w:end="0"/>
        <w:jc w:val="both"/>
        <w:rPr>
          <w:rFonts w:ascii="CG Times" w:hAnsi="CG Times" w:cs="CG Times"/>
          <w:b/>
          <w:u w:val="single"/>
        </w:rPr>
      </w:pPr>
      <w:r>
        <w:rPr>
          <w:rFonts w:cs="CG Times" w:ascii="CG Times" w:hAnsi="CG Times"/>
          <w:b/>
          <w:u w:val="single"/>
        </w:rPr>
      </w:r>
    </w:p>
    <w:p>
      <w:pPr>
        <w:pStyle w:val="Normal"/>
        <w:ind w:hanging="360" w:start="360" w:end="0"/>
        <w:jc w:val="both"/>
        <w:rPr/>
      </w:pPr>
      <w:r>
        <w:rPr>
          <w:rFonts w:eastAsia="MT Extra" w:cs="MT Extra" w:ascii="MT Extra" w:hAnsi="MT Extra"/>
          <w:b/>
        </w:rPr>
        <w:sym w:font="MT Extra" w:char="f03e"/>
      </w:r>
      <w:r>
        <w:rPr>
          <w:rFonts w:cs="CG Times" w:ascii="CG Times" w:hAnsi="CG Times"/>
          <w:b/>
        </w:rPr>
        <w:tab/>
      </w:r>
      <w:r>
        <w:rPr>
          <w:rFonts w:cs="CG Times" w:ascii="CG Times" w:hAnsi="CG Times"/>
        </w:rPr>
        <w:t>The GPG Pipelines are on schedule to complete the Internet Transition by June 2000.</w:t>
      </w:r>
    </w:p>
    <w:p>
      <w:pPr>
        <w:pStyle w:val="Normal"/>
        <w:ind w:hanging="360" w:start="360" w:end="0"/>
        <w:jc w:val="both"/>
        <w:rPr>
          <w:rFonts w:ascii="CG Times" w:hAnsi="CG Times" w:cs="CG Times"/>
        </w:rPr>
      </w:pPr>
      <w:r>
        <w:rPr>
          <w:rFonts w:cs="CG Times" w:ascii="CG Times" w:hAnsi="CG Times"/>
        </w:rPr>
      </w:r>
    </w:p>
    <w:p>
      <w:pPr>
        <w:pStyle w:val="Normal"/>
        <w:ind w:hanging="360" w:start="360" w:end="0"/>
        <w:jc w:val="both"/>
        <w:rPr/>
      </w:pPr>
      <w:r>
        <w:rPr>
          <w:rFonts w:eastAsia="MT Extra" w:cs="MT Extra" w:ascii="MT Extra" w:hAnsi="MT Extra"/>
          <w:b/>
        </w:rPr>
        <w:sym w:font="MT Extra" w:char="f03e"/>
      </w:r>
      <w:r>
        <w:rPr>
          <w:rFonts w:cs="CG Times" w:ascii="CG Times" w:hAnsi="CG Times"/>
          <w:b/>
        </w:rPr>
        <w:tab/>
      </w:r>
      <w:r>
        <w:rPr>
          <w:rFonts w:cs="CG Times" w:ascii="CG Times" w:hAnsi="CG Times"/>
        </w:rPr>
        <w:t>The GISB industry-wide meeting to discuss retail standards was held in Washington, D.C. on Monday, February 14.  The majority of the attendees appeared to support the development of national retail standards.  Even though the question of which organization would develop the standards was not on the agenda, many parties discussed this during the open forum.  Most parties favored having GISB develop the standards.  Edison Electric Institute (EEI) and Utility Industry Group (UIG) were among those outspoken against GISB developing standards.  At the close of the meeting, parties were asked to submit additional comments based on the dialogue at this meeting.  The panel that represented GISB will summarize the meeting and report back to the GISB Board at their March 2</w:t>
      </w:r>
      <w:r>
        <w:rPr>
          <w:rFonts w:cs="CG Times" w:ascii="CG Times" w:hAnsi="CG Times"/>
          <w:vertAlign w:val="superscript"/>
        </w:rPr>
        <w:t>nd</w:t>
      </w:r>
      <w:r>
        <w:rPr>
          <w:rFonts w:cs="CG Times" w:ascii="CG Times" w:hAnsi="CG Times"/>
        </w:rPr>
        <w:t xml:space="preserve"> meeting.</w:t>
      </w:r>
    </w:p>
    <w:p>
      <w:pPr>
        <w:pStyle w:val="Normal"/>
        <w:ind w:hanging="360" w:start="360" w:end="0"/>
        <w:jc w:val="both"/>
        <w:rPr>
          <w:rFonts w:ascii="CG Times" w:hAnsi="CG Times" w:cs="CG Times"/>
        </w:rPr>
      </w:pPr>
      <w:r>
        <w:rPr>
          <w:rFonts w:cs="CG Times" w:ascii="CG Times" w:hAnsi="CG Times"/>
        </w:rPr>
      </w:r>
    </w:p>
    <w:p>
      <w:pPr>
        <w:pStyle w:val="Normal"/>
        <w:ind w:hanging="360" w:start="360" w:end="0"/>
        <w:jc w:val="both"/>
        <w:rPr/>
      </w:pPr>
      <w:r>
        <w:rPr>
          <w:rFonts w:eastAsia="MT Extra" w:cs="MT Extra" w:ascii="MT Extra" w:hAnsi="MT Extra"/>
          <w:b/>
        </w:rPr>
        <w:sym w:font="MT Extra" w:char="f03e"/>
      </w:r>
      <w:r>
        <w:rPr>
          <w:rFonts w:cs="CG Times" w:ascii="CG Times" w:hAnsi="CG Times"/>
          <w:b/>
        </w:rPr>
        <w:tab/>
      </w:r>
      <w:r>
        <w:rPr>
          <w:rFonts w:cs="CG Times" w:ascii="CG Times" w:hAnsi="CG Times"/>
        </w:rPr>
        <w:t>GISB EC Representation</w:t>
      </w:r>
    </w:p>
    <w:p>
      <w:pPr>
        <w:pStyle w:val="Normal"/>
        <w:numPr>
          <w:ilvl w:val="0"/>
          <w:numId w:val="2"/>
        </w:numPr>
        <w:ind w:hanging="360" w:start="1080" w:end="0"/>
        <w:jc w:val="both"/>
        <w:rPr>
          <w:rFonts w:ascii="CG Times" w:hAnsi="CG Times" w:cs="CG Times"/>
        </w:rPr>
      </w:pPr>
      <w:r>
        <w:rPr>
          <w:rFonts w:cs="CG Times" w:ascii="CG Times" w:hAnsi="CG Times"/>
        </w:rPr>
        <w:t>The producer segment recently elected Joyce Phillips to the Executive Committee.  Joyce Phillips had previously worked at Duke and participated in GISB.  There is still one vacancy.</w:t>
      </w:r>
    </w:p>
    <w:p>
      <w:pPr>
        <w:pStyle w:val="Normal"/>
        <w:jc w:val="both"/>
        <w:rPr>
          <w:rFonts w:ascii="CG Times" w:hAnsi="CG Times" w:cs="CG Times"/>
        </w:rPr>
      </w:pPr>
      <w:r>
        <w:rPr>
          <w:rFonts w:cs="CG Times" w:ascii="CG Times" w:hAnsi="CG Times"/>
        </w:rPr>
      </w:r>
    </w:p>
    <w:p>
      <w:pPr>
        <w:pStyle w:val="Normal"/>
        <w:numPr>
          <w:ilvl w:val="0"/>
          <w:numId w:val="2"/>
        </w:numPr>
        <w:ind w:hanging="360" w:start="1080" w:end="0"/>
        <w:jc w:val="both"/>
        <w:rPr>
          <w:rFonts w:ascii="CG Times" w:hAnsi="CG Times" w:cs="CG Times"/>
        </w:rPr>
      </w:pPr>
      <w:r>
        <w:rPr>
          <w:rFonts w:cs="CG Times" w:ascii="CG Times" w:hAnsi="CG Times"/>
        </w:rPr>
        <w:t>Mark Scheel, Dynegy and Carl Caldwell, CGI were re-elected for the services segment.</w:t>
      </w:r>
    </w:p>
    <w:p>
      <w:pPr>
        <w:pStyle w:val="Normal"/>
        <w:jc w:val="both"/>
        <w:rPr>
          <w:rFonts w:ascii="CG Times" w:hAnsi="CG Times" w:cs="CG Times"/>
        </w:rPr>
      </w:pPr>
      <w:r>
        <w:rPr>
          <w:rFonts w:cs="CG Times" w:ascii="CG Times" w:hAnsi="CG Times"/>
        </w:rPr>
      </w:r>
    </w:p>
    <w:p>
      <w:pPr>
        <w:pStyle w:val="Normal"/>
        <w:ind w:hanging="360" w:start="360" w:end="0"/>
        <w:jc w:val="both"/>
        <w:rPr/>
      </w:pPr>
      <w:r>
        <w:rPr>
          <w:rFonts w:eastAsia="MT Extra" w:cs="MT Extra" w:ascii="MT Extra" w:hAnsi="MT Extra"/>
          <w:b/>
        </w:rPr>
        <w:sym w:font="MT Extra" w:char="f03e"/>
      </w:r>
      <w:r>
        <w:rPr>
          <w:rFonts w:cs="CG Times" w:ascii="CG Times" w:hAnsi="CG Times"/>
          <w:b/>
        </w:rPr>
        <w:tab/>
      </w:r>
      <w:r>
        <w:rPr>
          <w:rFonts w:cs="CG Times" w:ascii="CG Times" w:hAnsi="CG Times"/>
        </w:rPr>
        <w:t>Order 637 was not discussed at the EC meeting.</w:t>
      </w:r>
    </w:p>
    <w:p>
      <w:pPr>
        <w:pStyle w:val="Normal"/>
        <w:jc w:val="both"/>
        <w:rPr>
          <w:rFonts w:ascii="CG Times" w:hAnsi="CG Times" w:cs="CG Times"/>
        </w:rPr>
      </w:pPr>
      <w:r>
        <w:rPr>
          <w:rFonts w:cs="CG Times" w:ascii="CG Times" w:hAnsi="CG Times"/>
        </w:rPr>
      </w:r>
    </w:p>
    <w:sectPr>
      <w:footerReference w:type="default" r:id="rId3"/>
      <w:footerReference w:type="first" r:id="rId4"/>
      <w:type w:val="nextPage"/>
      <w:pgSz w:w="12240" w:h="15840"/>
      <w:pgMar w:left="1440" w:right="1440" w:gutter="0" w:header="0" w:top="1080" w:footer="360" w:bottom="5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G Times (W1)">
    <w:altName w:val="Times New Roman"/>
    <w:charset w:val="00" w:characterSet="windows-1252"/>
    <w:family w:val="roman"/>
    <w:pitch w:val="variable"/>
  </w:font>
  <w:font w:name="CG Times">
    <w:charset w:val="00" w:characterSet="windows-1252"/>
    <w:family w:val="roman"/>
    <w:pitch w:val="variable"/>
  </w:font>
  <w:font w:name="MT Extra">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5090"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BodyText2">
    <w:name w:val="Body Text 2"/>
    <w:basedOn w:val="Normal"/>
    <w:qFormat/>
    <w:pPr>
      <w:ind w:hanging="0" w:start="360" w:end="0"/>
    </w:pPr>
    <w:rPr>
      <w:sz w:val="22"/>
    </w:rPr>
  </w:style>
  <w:style w:type="paragraph" w:styleId="WW-BodyText2">
    <w:name w:val="WW-Body Text 2"/>
    <w:basedOn w:val="Normal"/>
    <w:qFormat/>
    <w:pPr>
      <w:tabs>
        <w:tab w:val="clear" w:pos="540"/>
      </w:tabs>
      <w:ind w:firstLine="360" w:start="0" w:end="0"/>
    </w:pPr>
    <w:rPr>
      <w:rFonts w:ascii="Times New Roman" w:hAnsi="Times New Roman" w:cs="Times New Roman"/>
    </w:rPr>
  </w:style>
  <w:style w:type="paragraph" w:styleId="BodyTextIndent">
    <w:name w:val="Body Text Indent"/>
    <w:basedOn w:val="Normal"/>
    <w:pPr>
      <w:tabs>
        <w:tab w:val="clear" w:pos="540"/>
      </w:tabs>
      <w:ind w:hanging="360" w:start="36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2000-02-23T19:47:00Z</dcterms:created>
  <dc:creator>Jan Butler</dc:creator>
  <dc:description/>
  <dc:language>en-CA</dc:language>
  <cp:lastModifiedBy>ET&amp;S</cp:lastModifiedBy>
  <cp:lastPrinted>2000-02-23T16:10:00Z</cp:lastPrinted>
  <dcterms:modified xsi:type="dcterms:W3CDTF">2000-02-23T19:47:00Z</dcterms:modified>
  <cp:revision>2</cp:revision>
  <dc:subject/>
  <dc:title>Weekly Regulatory Report template</dc:title>
</cp:coreProperties>
</file>