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b/>
          <w:i/>
          <w:sz w:val="28"/>
        </w:rPr>
        <w:t xml:space="preserve">EOTT </w:t>
      </w:r>
      <w:r>
        <w:rPr>
          <w:rFonts w:cs="Arial" w:ascii="Arial" w:hAnsi="Arial"/>
          <w:b/>
          <w:i/>
          <w:sz w:val="24"/>
        </w:rPr>
        <w:t>Energy Corp.</w:t>
      </w:r>
    </w:p>
    <w:p>
      <w:pPr>
        <w:pStyle w:val="Normal"/>
        <w:rPr>
          <w:rFonts w:ascii="Arial" w:hAnsi="Arial" w:cs="Arial"/>
          <w:b/>
          <w:i/>
          <w:i/>
          <w:sz w:val="24"/>
        </w:rPr>
      </w:pPr>
      <w:r>
        <w:rPr>
          <w:rFonts w:cs="Arial" w:ascii="Arial" w:hAnsi="Arial"/>
          <w:b/>
          <w:i/>
          <w:sz w:val="24"/>
        </w:rPr>
      </w:r>
    </w:p>
    <w:p>
      <w:pPr>
        <w:pStyle w:val="Normal"/>
        <w:rPr>
          <w:rFonts w:ascii="Arial" w:hAnsi="Arial" w:cs="Arial"/>
          <w:i/>
          <w:i/>
          <w:sz w:val="24"/>
        </w:rPr>
      </w:pPr>
      <w:r>
        <w:rPr>
          <w:rFonts w:cs="Arial" w:ascii="Arial" w:hAnsi="Arial"/>
          <w:i/>
          <w:sz w:val="24"/>
        </w:rPr>
      </w:r>
    </w:p>
    <w:p>
      <w:pPr>
        <w:pStyle w:val="Normal"/>
        <w:jc w:val="center"/>
        <w:rPr>
          <w:sz w:val="24"/>
        </w:rPr>
      </w:pPr>
      <w:r>
        <w:rPr>
          <w:sz w:val="24"/>
        </w:rPr>
        <w:t>INTEROFFICE MEMORANDUM</w:t>
      </w:r>
    </w:p>
    <w:p>
      <w:pPr>
        <w:pStyle w:val="Normal"/>
        <w:jc w:val="center"/>
        <w:rPr>
          <w:rFonts w:ascii="Arial" w:hAnsi="Arial" w:cs="Arial"/>
          <w:i/>
          <w:i/>
          <w:sz w:val="24"/>
        </w:rPr>
      </w:pPr>
      <w:r>
        <w:rPr>
          <w:rFonts w:cs="Arial" w:ascii="Arial" w:hAnsi="Arial"/>
          <w:i/>
          <w:sz w:val="24"/>
        </w:rPr>
      </w:r>
    </w:p>
    <w:p>
      <w:pPr>
        <w:pStyle w:val="Normal"/>
        <w:jc w:val="center"/>
        <w:rPr>
          <w:rFonts w:ascii="Arial" w:hAnsi="Arial" w:cs="Arial"/>
          <w:i/>
          <w:i/>
          <w:sz w:val="24"/>
        </w:rPr>
      </w:pPr>
      <w:r>
        <w:rPr>
          <w:rFonts w:cs="Arial" w:ascii="Arial" w:hAnsi="Arial"/>
          <w:i/>
          <w:sz w:val="24"/>
        </w:rPr>
      </w:r>
    </w:p>
    <w:p>
      <w:pPr>
        <w:pStyle w:val="Normal"/>
        <w:jc w:val="center"/>
        <w:rPr>
          <w:rFonts w:ascii="Arial" w:hAnsi="Arial" w:cs="Arial"/>
          <w:i/>
          <w:i/>
          <w:sz w:val="24"/>
        </w:rPr>
      </w:pPr>
      <w:r>
        <w:rPr>
          <w:rFonts w:cs="Arial" w:ascii="Arial" w:hAnsi="Arial"/>
          <w:i/>
          <w:sz w:val="24"/>
        </w:rPr>
      </w:r>
    </w:p>
    <w:p>
      <w:pPr>
        <w:pStyle w:val="Normal"/>
        <w:jc w:val="both"/>
        <w:rPr>
          <w:sz w:val="24"/>
        </w:rPr>
      </w:pPr>
      <w:r>
        <w:rPr>
          <w:sz w:val="24"/>
        </w:rPr>
        <w:t>TO:</w:t>
        <w:tab/>
        <w:tab/>
        <w:t>Matt Hughes, Larry Campbell, Rick Suderman, Scott Jones</w:t>
      </w:r>
    </w:p>
    <w:p>
      <w:pPr>
        <w:pStyle w:val="Normal"/>
        <w:jc w:val="both"/>
        <w:rPr>
          <w:sz w:val="24"/>
        </w:rPr>
      </w:pPr>
      <w:r>
        <w:rPr>
          <w:sz w:val="24"/>
        </w:rPr>
      </w:r>
    </w:p>
    <w:p>
      <w:pPr>
        <w:pStyle w:val="Normal"/>
        <w:jc w:val="both"/>
        <w:rPr>
          <w:sz w:val="24"/>
        </w:rPr>
      </w:pPr>
      <w:r>
        <w:rPr>
          <w:sz w:val="24"/>
        </w:rPr>
        <w:t>CC:</w:t>
        <w:tab/>
        <w:tab/>
        <w:t xml:space="preserve">Dana Gibbs, Bob Jacobs, Randy Rice, Molly Sample, John Shafer, Lou Soldano </w:t>
      </w:r>
    </w:p>
    <w:p>
      <w:pPr>
        <w:pStyle w:val="Normal"/>
        <w:jc w:val="both"/>
        <w:rPr>
          <w:sz w:val="24"/>
        </w:rPr>
      </w:pPr>
      <w:r>
        <w:rPr>
          <w:sz w:val="24"/>
        </w:rPr>
      </w:r>
    </w:p>
    <w:p>
      <w:pPr>
        <w:pStyle w:val="Normal"/>
        <w:jc w:val="both"/>
        <w:rPr/>
      </w:pPr>
      <w:r>
        <w:rPr>
          <w:sz w:val="24"/>
        </w:rPr>
        <w:t>FROM:</w:t>
        <w:tab/>
        <w:t>Edward T. Attanasio</w:t>
        <w:tab/>
        <w:tab/>
      </w:r>
      <w:r>
        <w:rPr>
          <w:b/>
          <w:sz w:val="24"/>
        </w:rPr>
        <w:t>PRIVILEGED AND CONFIDENTIAL</w:t>
      </w:r>
    </w:p>
    <w:p>
      <w:pPr>
        <w:pStyle w:val="Normal"/>
        <w:jc w:val="both"/>
        <w:rPr/>
      </w:pPr>
      <w:r>
        <w:rPr>
          <w:sz w:val="24"/>
        </w:rPr>
        <w:tab/>
        <w:tab/>
        <w:t>Legal Dept.</w:t>
        <w:tab/>
        <w:tab/>
        <w:tab/>
      </w:r>
      <w:r>
        <w:rPr>
          <w:b/>
          <w:sz w:val="24"/>
        </w:rPr>
        <w:t>ATTORNEY CLIENT COMMUNICATION</w:t>
      </w:r>
    </w:p>
    <w:p>
      <w:pPr>
        <w:pStyle w:val="Normal"/>
        <w:jc w:val="both"/>
        <w:rPr/>
      </w:pPr>
      <w:r>
        <w:rPr>
          <w:sz w:val="24"/>
        </w:rPr>
        <w:tab/>
        <w:tab/>
        <w:tab/>
        <w:tab/>
        <w:tab/>
        <w:tab/>
      </w:r>
      <w:r>
        <w:rPr>
          <w:b/>
          <w:sz w:val="24"/>
        </w:rPr>
        <w:t>ATTORNEY WORK PRODUCT</w:t>
      </w:r>
    </w:p>
    <w:p>
      <w:pPr>
        <w:pStyle w:val="Normal"/>
        <w:jc w:val="both"/>
        <w:rPr>
          <w:sz w:val="24"/>
        </w:rPr>
      </w:pPr>
      <w:r>
        <w:rPr>
          <w:sz w:val="24"/>
        </w:rPr>
        <w:t>DATE:</w:t>
        <w:tab/>
        <w:tab/>
        <w:t>February 22, 2001</w:t>
      </w:r>
    </w:p>
    <w:p>
      <w:pPr>
        <w:pStyle w:val="Normal"/>
        <w:jc w:val="both"/>
        <w:rPr>
          <w:sz w:val="24"/>
        </w:rPr>
      </w:pPr>
      <w:r>
        <w:rPr>
          <w:sz w:val="24"/>
        </w:rPr>
      </w:r>
    </w:p>
    <w:p>
      <w:pPr>
        <w:pStyle w:val="Normal"/>
        <w:pBdr>
          <w:bottom w:val="single" w:sz="6" w:space="1" w:color="000000"/>
        </w:pBdr>
        <w:ind w:hanging="1440" w:start="1440" w:end="0"/>
        <w:jc w:val="both"/>
        <w:rPr>
          <w:sz w:val="24"/>
        </w:rPr>
      </w:pPr>
      <w:r>
        <w:rPr>
          <w:sz w:val="24"/>
        </w:rPr>
        <w:t>RE:</w:t>
        <w:tab/>
        <w:t>Hydrocarbon Contamination at NCL Truck Rack -- Effect on Upgrades</w:t>
      </w:r>
    </w:p>
    <w:p>
      <w:pPr>
        <w:pStyle w:val="Normal"/>
        <w:pBdr>
          <w:bottom w:val="single" w:sz="6" w:space="1" w:color="000000"/>
        </w:pBdr>
        <w:ind w:hanging="1440" w:start="1440" w:end="0"/>
        <w:jc w:val="both"/>
        <w:rPr>
          <w:sz w:val="24"/>
        </w:rPr>
      </w:pPr>
      <w:r>
        <w:rPr>
          <w:sz w:val="24"/>
        </w:rPr>
      </w:r>
    </w:p>
    <w:p>
      <w:pPr>
        <w:pStyle w:val="Normal"/>
        <w:ind w:hanging="1440" w:start="1440" w:end="0"/>
        <w:jc w:val="both"/>
        <w:rPr>
          <w:sz w:val="24"/>
        </w:rPr>
      </w:pPr>
      <w:r>
        <w:rPr>
          <w:sz w:val="24"/>
        </w:rPr>
      </w:r>
    </w:p>
    <w:p>
      <w:pPr>
        <w:pStyle w:val="Normal"/>
        <w:jc w:val="both"/>
        <w:rPr>
          <w:sz w:val="24"/>
        </w:rPr>
      </w:pPr>
      <w:r>
        <w:rPr>
          <w:sz w:val="24"/>
        </w:rPr>
        <w:tab/>
      </w:r>
    </w:p>
    <w:p>
      <w:pPr>
        <w:pStyle w:val="Normal"/>
        <w:jc w:val="both"/>
        <w:rPr/>
      </w:pPr>
      <w:r>
        <w:rPr>
          <w:sz w:val="24"/>
        </w:rPr>
        <w:tab/>
      </w:r>
      <w:r>
        <w:rPr>
          <w:b/>
          <w:sz w:val="24"/>
        </w:rPr>
        <w:t>ISSUE PRESENTED</w:t>
      </w:r>
      <w:r>
        <w:rPr>
          <w:sz w:val="24"/>
        </w:rPr>
        <w:t>:</w:t>
        <w:tab/>
      </w:r>
    </w:p>
    <w:p>
      <w:pPr>
        <w:pStyle w:val="Normal"/>
        <w:jc w:val="both"/>
        <w:rPr>
          <w:sz w:val="24"/>
        </w:rPr>
      </w:pPr>
      <w:r>
        <w:rPr>
          <w:sz w:val="24"/>
        </w:rPr>
      </w:r>
    </w:p>
    <w:p>
      <w:pPr>
        <w:pStyle w:val="BodyTextIndent"/>
        <w:rPr/>
      </w:pPr>
      <w:r>
        <w:rPr/>
        <w:t xml:space="preserve">How should contamination at the old truck rack impact the location and construction of the upgraded rack?  </w:t>
      </w:r>
    </w:p>
    <w:p>
      <w:pPr>
        <w:pStyle w:val="Normal"/>
        <w:ind w:firstLine="720" w:end="0"/>
        <w:jc w:val="both"/>
        <w:rPr>
          <w:sz w:val="24"/>
        </w:rPr>
      </w:pPr>
      <w:r>
        <w:rPr>
          <w:sz w:val="24"/>
        </w:rPr>
      </w:r>
    </w:p>
    <w:p>
      <w:pPr>
        <w:pStyle w:val="Normal"/>
        <w:ind w:firstLine="720" w:end="0"/>
        <w:jc w:val="both"/>
        <w:rPr>
          <w:sz w:val="24"/>
        </w:rPr>
      </w:pPr>
      <w:r>
        <w:rPr>
          <w:sz w:val="24"/>
        </w:rPr>
        <w:t>The decision to relocate the upgraded truck rack away from existing hydrocarbon contamination was predicated upon the assumption that doing so would not substantially increase the overall cost of the project.  If this assumption is not correct, a re-evaluation of the decision to relocate is in order.</w:t>
      </w:r>
    </w:p>
    <w:p>
      <w:pPr>
        <w:pStyle w:val="Normal"/>
        <w:ind w:firstLine="720" w:end="0"/>
        <w:jc w:val="both"/>
        <w:rPr>
          <w:sz w:val="24"/>
        </w:rPr>
      </w:pPr>
      <w:r>
        <w:rPr>
          <w:sz w:val="24"/>
        </w:rPr>
      </w:r>
    </w:p>
    <w:p>
      <w:pPr>
        <w:pStyle w:val="Normal"/>
        <w:ind w:firstLine="720" w:end="0"/>
        <w:jc w:val="both"/>
        <w:rPr>
          <w:b/>
          <w:sz w:val="24"/>
        </w:rPr>
      </w:pPr>
      <w:r>
        <w:rPr>
          <w:b/>
          <w:sz w:val="24"/>
        </w:rPr>
      </w:r>
    </w:p>
    <w:p>
      <w:pPr>
        <w:pStyle w:val="Normal"/>
        <w:ind w:firstLine="720" w:end="0"/>
        <w:jc w:val="both"/>
        <w:rPr>
          <w:sz w:val="24"/>
        </w:rPr>
      </w:pPr>
      <w:r>
        <w:rPr>
          <w:b/>
          <w:sz w:val="24"/>
        </w:rPr>
        <w:t>DISCUSSION:</w:t>
      </w:r>
    </w:p>
    <w:p>
      <w:pPr>
        <w:pStyle w:val="Normal"/>
        <w:ind w:firstLine="720" w:end="0"/>
        <w:jc w:val="both"/>
        <w:rPr>
          <w:sz w:val="24"/>
        </w:rPr>
      </w:pPr>
      <w:r>
        <w:rPr>
          <w:sz w:val="24"/>
        </w:rPr>
      </w:r>
    </w:p>
    <w:p>
      <w:pPr>
        <w:pStyle w:val="Normal"/>
        <w:ind w:firstLine="720" w:end="0"/>
        <w:jc w:val="both"/>
        <w:rPr>
          <w:sz w:val="24"/>
        </w:rPr>
      </w:pPr>
      <w:r>
        <w:rPr>
          <w:sz w:val="24"/>
        </w:rPr>
        <w:t xml:space="preserve">Part of the Oxy project includes substantial upgrades to the truck rack at North Coles Levee.  The original plan called for building an upgraded rack “side by side” with the existing rack, so that rack downtime would be minimal or non-existing. </w:t>
      </w:r>
    </w:p>
    <w:p>
      <w:pPr>
        <w:pStyle w:val="Normal"/>
        <w:ind w:firstLine="720" w:end="0"/>
        <w:jc w:val="both"/>
        <w:rPr>
          <w:sz w:val="24"/>
        </w:rPr>
      </w:pPr>
      <w:r>
        <w:rPr>
          <w:sz w:val="24"/>
        </w:rPr>
      </w:r>
    </w:p>
    <w:p>
      <w:pPr>
        <w:pStyle w:val="Normal"/>
        <w:ind w:firstLine="720" w:end="0"/>
        <w:jc w:val="both"/>
        <w:rPr>
          <w:sz w:val="24"/>
        </w:rPr>
      </w:pPr>
      <w:r>
        <w:rPr>
          <w:sz w:val="24"/>
        </w:rPr>
        <w:t>A strong gasoline smell was noticed during a compaction analysis performed in about June 2000 for the upgraded rack location.  By letter dated July 7, 2000, EOTT requested indemnification from Koch for this contamination.  In the Fall, by agreement between EOTT and Koch, West Coast Environmental (WCE) performed sampling to characterize the vertical and horizontal extent of the contamination.  WCE determined that the contamination was hydrocarbon vapor in relatively small concentrations: only one or two “hits” were above reportable quantities.</w:t>
      </w:r>
    </w:p>
    <w:p>
      <w:pPr>
        <w:pStyle w:val="Normal"/>
        <w:ind w:firstLine="720" w:end="0"/>
        <w:jc w:val="both"/>
        <w:rPr>
          <w:sz w:val="24"/>
        </w:rPr>
      </w:pPr>
      <w:r>
        <w:rPr>
          <w:sz w:val="24"/>
        </w:rPr>
      </w:r>
    </w:p>
    <w:p>
      <w:pPr>
        <w:pStyle w:val="Normal"/>
        <w:ind w:firstLine="720" w:end="0"/>
        <w:jc w:val="both"/>
        <w:rPr/>
      </w:pPr>
      <w:r>
        <w:rPr>
          <w:sz w:val="24"/>
        </w:rPr>
        <w:t>A plan was then developed to report the contamination to the County Department of Health, along with a “no action” recommendation.</w:t>
      </w:r>
      <w:r>
        <w:rPr>
          <w:rStyle w:val="FootnoteCharacters"/>
          <w:rStyle w:val="FootnoteReference"/>
          <w:sz w:val="24"/>
        </w:rPr>
        <w:footnoteReference w:id="2"/>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The issue of whether or not to construct the upgraded rack in the contaminated zone was then addressed.  To help with the determination of how big a problem would be faced if the health agency rejected the no action recommendation, WCE informally opined that remediation of the hydrocarbon contamination would cost less that $100,000.  This opinion was, of course, not unqualified; one such qualification was that no additional structures be built above the contamination plume. </w:t>
        <w:tab/>
      </w:r>
    </w:p>
    <w:p>
      <w:pPr>
        <w:pStyle w:val="Normal"/>
        <w:ind w:firstLine="720" w:end="0"/>
        <w:jc w:val="both"/>
        <w:rPr>
          <w:sz w:val="24"/>
        </w:rPr>
      </w:pPr>
      <w:r>
        <w:rPr>
          <w:sz w:val="24"/>
        </w:rPr>
      </w:r>
    </w:p>
    <w:p>
      <w:pPr>
        <w:pStyle w:val="Normal"/>
        <w:ind w:firstLine="720" w:end="0"/>
        <w:jc w:val="both"/>
        <w:rPr/>
      </w:pPr>
      <w:r>
        <w:rPr>
          <w:sz w:val="24"/>
        </w:rPr>
        <w:t xml:space="preserve">A decision was therefore made to relocate the upgraded rack away from the plume.  This decision was based upon the assumption that such a relocation was “feasible,” </w:t>
      </w:r>
      <w:r>
        <w:rPr>
          <w:i/>
          <w:sz w:val="24"/>
        </w:rPr>
        <w:t xml:space="preserve">i.e., </w:t>
      </w:r>
      <w:r>
        <w:rPr>
          <w:sz w:val="24"/>
        </w:rPr>
        <w:t xml:space="preserve">was not prohibitively expensive.  </w:t>
      </w:r>
    </w:p>
    <w:p>
      <w:pPr>
        <w:pStyle w:val="Normal"/>
        <w:ind w:firstLine="720" w:end="0"/>
        <w:jc w:val="both"/>
        <w:rPr>
          <w:sz w:val="24"/>
        </w:rPr>
      </w:pPr>
      <w:r>
        <w:rPr>
          <w:sz w:val="24"/>
        </w:rPr>
      </w:r>
    </w:p>
    <w:p>
      <w:pPr>
        <w:pStyle w:val="Normal"/>
        <w:ind w:firstLine="720" w:end="0"/>
        <w:jc w:val="both"/>
        <w:rPr>
          <w:sz w:val="24"/>
        </w:rPr>
      </w:pPr>
      <w:r>
        <w:rPr>
          <w:sz w:val="24"/>
        </w:rPr>
        <w:t xml:space="preserve">It now appears that this may not be the case: it may, in fact cost in excess of $ 1MM to relocate the rack.  If this is the case, then the decision to relocate must be reevaluated.  For instance, unless locating the upgraded rack above the plume would result in at least an additional $ 1MM in remediation costs, it would seem axiomatic that it would be better to build the rack above the plume than to relocate it for an additional $ 1MM+.  </w:t>
      </w:r>
    </w:p>
    <w:p>
      <w:pPr>
        <w:pStyle w:val="Normal"/>
        <w:ind w:firstLine="720" w:end="0"/>
        <w:jc w:val="both"/>
        <w:rPr>
          <w:sz w:val="24"/>
        </w:rPr>
      </w:pPr>
      <w:r>
        <w:rPr>
          <w:sz w:val="24"/>
        </w:rPr>
      </w:r>
    </w:p>
    <w:p>
      <w:pPr>
        <w:pStyle w:val="Normal"/>
        <w:ind w:firstLine="720" w:end="0"/>
        <w:jc w:val="both"/>
        <w:rPr>
          <w:sz w:val="24"/>
        </w:rPr>
      </w:pPr>
      <w:r>
        <w:rPr>
          <w:sz w:val="24"/>
        </w:rPr>
        <w:t>Consequently, it appears that the issue of the location of the upgraded rack warrants a reevaluation at this time to determine whether additional costs of relocation exceed its benefits.</w:t>
      </w:r>
    </w:p>
    <w:p>
      <w:pPr>
        <w:pStyle w:val="Normal"/>
        <w:ind w:firstLine="720" w:end="0"/>
        <w:jc w:val="both"/>
        <w:rPr>
          <w:sz w:val="24"/>
        </w:rPr>
      </w:pPr>
      <w:r>
        <w:rPr>
          <w:sz w:val="24"/>
        </w:rPr>
      </w:r>
    </w:p>
    <w:p>
      <w:pPr>
        <w:pStyle w:val="Normal"/>
        <w:ind w:firstLine="720" w:end="0"/>
        <w:jc w:val="both"/>
        <w:rPr>
          <w:sz w:val="24"/>
        </w:rPr>
      </w:pPr>
      <w:r>
        <w:rPr>
          <w:sz w:val="24"/>
        </w:rPr>
        <w:tab/>
        <w:tab/>
        <w:tab/>
        <w:tab/>
        <w:tab/>
        <w:tab/>
        <w:tab/>
        <w:tab/>
        <w:tab/>
        <w:t>-- ETA</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/mnt/main-storage/datasets/enron-docs/doc/0222a101.doc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/mnt/main-storage/datasets/enron-docs/doc/0222a101.doc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contamination, along with mercury contamination near the old meter shop, was not reported to the health agency.  According to ETS, these matters could not be presented to the agency until a decision was reached on how to handle chromium contamination at NCL that had been discovered in the meantime.  The reporting issue for all three of these matters remains outstanding and still needs to be dealt with, but that is a separate matter.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FootnoteText">
    <w:name w:val="footnote text"/>
    <w:basedOn w:val="Normal"/>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MMSMemo.dot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2001-02-22T17:13:00Z</dcterms:created>
  <dc:creator>Autumn Cartier</dc:creator>
  <dc:description/>
  <dc:language>en-CA</dc:language>
  <cp:lastModifiedBy>Edward T. Attanasio</cp:lastModifiedBy>
  <cp:lastPrinted>2001-02-22T15:20:00Z</cp:lastPrinted>
  <dcterms:modified xsi:type="dcterms:W3CDTF">2001-02-22T20:50:00Z</dcterms:modified>
  <cp:revision>8</cp:revision>
  <dc:subject/>
  <dc:title>Memo Form</dc:title>
</cp:coreProperties>
</file>