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right" w:pos="10080" w:leader="none"/>
        </w:tabs>
        <w:rPr>
          <w:b/>
          <w:color w:val="000000"/>
          <w:sz w:val="30"/>
          <w:lang w:eastAsia="en-US"/>
        </w:rPr>
      </w:pPr>
      <w:r>
        <w:drawing>
          <wp:anchor behindDoc="0" distT="0" distB="0" distL="114935" distR="114935" simplePos="0" locked="0" layoutInCell="1" allowOverlap="1" relativeHeight="2">
            <wp:simplePos x="0" y="0"/>
            <wp:positionH relativeFrom="column">
              <wp:posOffset>0</wp:posOffset>
            </wp:positionH>
            <wp:positionV relativeFrom="paragraph">
              <wp:posOffset>91440</wp:posOffset>
            </wp:positionV>
            <wp:extent cx="941705" cy="96139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4" r="-4" b="-4"/>
                    <a:stretch>
                      <a:fillRect/>
                    </a:stretch>
                  </pic:blipFill>
                  <pic:spPr bwMode="auto">
                    <a:xfrm>
                      <a:off x="0" y="0"/>
                      <a:ext cx="941705" cy="961390"/>
                    </a:xfrm>
                    <a:prstGeom prst="rect">
                      <a:avLst/>
                    </a:prstGeom>
                    <a:noFill/>
                  </pic:spPr>
                </pic:pic>
              </a:graphicData>
            </a:graphic>
          </wp:anchor>
        </w:drawing>
      </w:r>
      <w:r>
        <w:rPr>
          <w:rFonts w:cs="MS Sans Serif" w:ascii="MS Sans Serif" w:hAnsi="MS Sans Serif"/>
          <w:sz w:val="24"/>
          <w:lang w:eastAsia="en-US"/>
        </w:rPr>
        <w:tab/>
      </w:r>
      <w:r>
        <w:rPr>
          <w:b/>
          <w:color w:val="000000"/>
          <w:sz w:val="24"/>
          <w:lang w:eastAsia="en-US"/>
        </w:rPr>
        <w:t>Interoffice Memorandum</w:t>
      </w:r>
    </w:p>
    <w:p>
      <w:pPr>
        <w:pStyle w:val="Normal"/>
        <w:widowControl w:val="false"/>
        <w:tabs>
          <w:tab w:val="clear" w:pos="720"/>
          <w:tab w:val="left" w:pos="90" w:leader="none"/>
          <w:tab w:val="left" w:pos="960" w:leader="none"/>
        </w:tabs>
        <w:spacing w:before="1767" w:after="0"/>
        <w:rPr>
          <w:color w:val="000000"/>
          <w:sz w:val="25"/>
          <w:lang w:eastAsia="en-US"/>
        </w:rPr>
      </w:pPr>
      <w:r>
        <w:rPr>
          <w:color w:val="000000"/>
          <w:lang w:eastAsia="en-US"/>
        </w:rPr>
        <w:t>To</w:t>
      </w:r>
      <w:r>
        <w:rPr>
          <w:rFonts w:cs="MS Sans Serif" w:ascii="MS Sans Serif" w:hAnsi="MS Sans Serif"/>
          <w:sz w:val="24"/>
          <w:lang w:eastAsia="en-US"/>
        </w:rPr>
        <w:tab/>
      </w:r>
      <w:r>
        <w:rPr>
          <w:color w:val="000000"/>
          <w:lang w:eastAsia="en-US"/>
        </w:rPr>
        <w:t xml:space="preserve">Rick Buy, Mark Frevert, George McClellan, Ted Murphy, </w:t>
      </w:r>
    </w:p>
    <w:p>
      <w:pPr>
        <w:pStyle w:val="Normal"/>
        <w:widowControl w:val="false"/>
        <w:tabs>
          <w:tab w:val="clear" w:pos="720"/>
          <w:tab w:val="left" w:pos="960" w:leader="none"/>
        </w:tabs>
        <w:rPr/>
      </w:pPr>
      <w:r>
        <w:rPr>
          <w:rFonts w:cs="MS Sans Serif" w:ascii="MS Sans Serif" w:hAnsi="MS Sans Serif"/>
          <w:sz w:val="24"/>
          <w:lang w:eastAsia="en-US"/>
        </w:rPr>
        <w:tab/>
      </w:r>
      <w:r>
        <w:rPr>
          <w:lang w:eastAsia="en-US"/>
        </w:rPr>
        <w:t>David Port,</w:t>
      </w:r>
      <w:r>
        <w:rPr>
          <w:rFonts w:cs="MS Sans Serif" w:ascii="MS Sans Serif" w:hAnsi="MS Sans Serif"/>
          <w:sz w:val="24"/>
          <w:lang w:eastAsia="en-US"/>
        </w:rPr>
        <w:t xml:space="preserve"> </w:t>
      </w:r>
      <w:r>
        <w:rPr>
          <w:color w:val="000000"/>
          <w:lang w:eastAsia="en-US"/>
        </w:rPr>
        <w:t>Cassandra Schultz, Jeff Shankman, John Sherriff,</w:t>
      </w:r>
    </w:p>
    <w:p>
      <w:pPr>
        <w:pStyle w:val="Normal"/>
        <w:widowControl w:val="false"/>
        <w:tabs>
          <w:tab w:val="clear" w:pos="720"/>
          <w:tab w:val="left" w:pos="960" w:leader="none"/>
        </w:tabs>
        <w:rPr>
          <w:color w:val="000000"/>
          <w:sz w:val="22"/>
          <w:lang w:eastAsia="en-US"/>
        </w:rPr>
      </w:pPr>
      <w:r>
        <w:rPr>
          <w:color w:val="000000"/>
          <w:lang w:eastAsia="en-US"/>
        </w:rPr>
        <w:tab/>
        <w:t>Jeff Skilling, File Copy</w:t>
      </w:r>
    </w:p>
    <w:p>
      <w:pPr>
        <w:pStyle w:val="Normal"/>
        <w:widowControl w:val="false"/>
        <w:tabs>
          <w:tab w:val="clear" w:pos="720"/>
          <w:tab w:val="left" w:pos="90" w:leader="none"/>
          <w:tab w:val="left" w:pos="960" w:leader="none"/>
          <w:tab w:val="right" w:pos="7560" w:leader="none"/>
          <w:tab w:val="left" w:pos="7680" w:leader="none"/>
        </w:tabs>
        <w:spacing w:before="95" w:after="0"/>
        <w:rPr>
          <w:color w:val="000000"/>
          <w:sz w:val="25"/>
          <w:lang w:eastAsia="en-US"/>
        </w:rPr>
      </w:pPr>
      <w:r>
        <w:rPr>
          <w:color w:val="000000"/>
          <w:lang w:eastAsia="en-US"/>
        </w:rPr>
        <w:t>From</w:t>
      </w:r>
      <w:r>
        <w:rPr>
          <w:rFonts w:cs="MS Sans Serif" w:ascii="MS Sans Serif" w:hAnsi="MS Sans Serif"/>
          <w:sz w:val="24"/>
          <w:lang w:eastAsia="en-US"/>
        </w:rPr>
        <w:tab/>
      </w:r>
      <w:r>
        <w:rPr>
          <w:color w:val="000000"/>
          <w:lang w:eastAsia="en-US"/>
        </w:rPr>
        <w:t>Chris Abel / Kenneth Thibodeaux</w:t>
      </w:r>
      <w:r>
        <w:rPr>
          <w:rFonts w:cs="MS Sans Serif" w:ascii="MS Sans Serif" w:hAnsi="MS Sans Serif"/>
          <w:sz w:val="24"/>
          <w:lang w:eastAsia="en-US"/>
        </w:rPr>
        <w:tab/>
      </w:r>
      <w:r>
        <w:rPr>
          <w:color w:val="000000"/>
          <w:lang w:eastAsia="en-US"/>
        </w:rPr>
        <w:t>Department:</w:t>
      </w:r>
      <w:r>
        <w:rPr>
          <w:rFonts w:cs="MS Sans Serif" w:ascii="MS Sans Serif" w:hAnsi="MS Sans Serif"/>
          <w:sz w:val="24"/>
          <w:lang w:eastAsia="en-US"/>
        </w:rPr>
        <w:tab/>
      </w:r>
      <w:r>
        <w:rPr>
          <w:color w:val="000000"/>
          <w:lang w:eastAsia="en-US"/>
        </w:rPr>
        <w:t>Risk Management</w:t>
      </w:r>
    </w:p>
    <w:p>
      <w:pPr>
        <w:pStyle w:val="Normal"/>
        <w:widowControl w:val="false"/>
        <w:tabs>
          <w:tab w:val="clear" w:pos="720"/>
          <w:tab w:val="left" w:pos="90" w:leader="none"/>
          <w:tab w:val="left" w:pos="960" w:leader="none"/>
          <w:tab w:val="right" w:pos="7560" w:leader="none"/>
          <w:tab w:val="left" w:pos="7680" w:leader="none"/>
        </w:tabs>
        <w:spacing w:before="13" w:after="0"/>
        <w:rPr>
          <w:color w:val="000000"/>
          <w:sz w:val="25"/>
          <w:lang w:eastAsia="en-US"/>
        </w:rPr>
      </w:pPr>
      <w:r>
        <w:rPr>
          <w:color w:val="000000"/>
          <w:lang w:eastAsia="en-US"/>
        </w:rPr>
        <w:t>Subject:</w:t>
      </w:r>
      <w:r>
        <w:rPr>
          <w:rFonts w:cs="MS Sans Serif" w:ascii="MS Sans Serif" w:hAnsi="MS Sans Serif"/>
          <w:sz w:val="24"/>
          <w:lang w:eastAsia="en-US"/>
        </w:rPr>
        <w:tab/>
      </w:r>
      <w:r>
        <w:rPr>
          <w:color w:val="000000"/>
          <w:lang w:eastAsia="en-US"/>
        </w:rPr>
        <w:t>Limit Violation</w:t>
      </w:r>
      <w:r>
        <w:rPr>
          <w:rFonts w:cs="MS Sans Serif" w:ascii="MS Sans Serif" w:hAnsi="MS Sans Serif"/>
          <w:sz w:val="24"/>
          <w:lang w:eastAsia="en-US"/>
        </w:rPr>
        <w:tab/>
      </w:r>
      <w:r>
        <w:rPr>
          <w:color w:val="000000"/>
          <w:lang w:eastAsia="en-US"/>
        </w:rPr>
        <w:t>Date:</w:t>
      </w:r>
      <w:r>
        <w:rPr>
          <w:rFonts w:cs="MS Sans Serif" w:ascii="MS Sans Serif" w:hAnsi="MS Sans Serif"/>
          <w:sz w:val="24"/>
          <w:lang w:eastAsia="en-US"/>
        </w:rPr>
        <w:tab/>
      </w:r>
      <w:r>
        <w:rPr>
          <w:lang w:eastAsia="en-US"/>
        </w:rPr>
        <w:t>February</w:t>
      </w:r>
      <w:r>
        <w:rPr>
          <w:rFonts w:cs="MS Sans Serif" w:ascii="MS Sans Serif" w:hAnsi="MS Sans Serif"/>
          <w:sz w:val="24"/>
          <w:lang w:eastAsia="en-US"/>
        </w:rPr>
        <w:t xml:space="preserve"> </w:t>
      </w:r>
      <w:r>
        <w:rPr>
          <w:lang w:eastAsia="en-US"/>
        </w:rPr>
        <w:t>13</w:t>
      </w:r>
      <w:r>
        <w:rPr>
          <w:color w:val="000000"/>
          <w:lang w:eastAsia="en-US"/>
        </w:rPr>
        <w:t>, 2001</w:t>
      </w:r>
    </w:p>
    <w:p>
      <w:pPr>
        <w:pStyle w:val="Normal"/>
        <w:widowControl w:val="false"/>
        <w:tabs>
          <w:tab w:val="clear" w:pos="720"/>
          <w:tab w:val="left" w:pos="90" w:leader="none"/>
        </w:tabs>
        <w:rPr>
          <w:b/>
          <w:color w:val="000000"/>
          <w:sz w:val="82"/>
          <w:lang w:eastAsia="en-US"/>
        </w:rPr>
      </w:pPr>
      <w:r>
        <w:rPr>
          <w:b/>
          <w:color w:val="000000"/>
          <w:sz w:val="72"/>
          <w:lang w:eastAsia="en-US"/>
        </w:rPr>
        <w:t>—————————————</w:t>
      </w:r>
    </w:p>
    <w:p>
      <w:pPr>
        <w:pStyle w:val="Normal"/>
        <w:widowControl w:val="false"/>
        <w:tabs>
          <w:tab w:val="clear" w:pos="720"/>
          <w:tab w:val="left" w:pos="90" w:leader="none"/>
        </w:tabs>
        <w:rPr>
          <w:color w:val="000000"/>
          <w:sz w:val="25"/>
          <w:lang w:eastAsia="en-US"/>
        </w:rPr>
      </w:pPr>
      <w:r>
        <w:rPr>
          <w:color w:val="000000"/>
          <w:lang w:eastAsia="en-US"/>
        </w:rPr>
        <w:t>Please note below the occurrence of the following limit violation as of the close of business February 12, 2001.</w:t>
      </w:r>
    </w:p>
    <w:p>
      <w:pPr>
        <w:pStyle w:val="Normal"/>
        <w:widowControl w:val="false"/>
        <w:tabs>
          <w:tab w:val="clear" w:pos="720"/>
          <w:tab w:val="left" w:pos="90" w:leader="none"/>
        </w:tabs>
        <w:spacing w:before="373" w:after="0"/>
        <w:rPr>
          <w:b/>
          <w:color w:val="000000"/>
          <w:sz w:val="25"/>
          <w:u w:val="single"/>
          <w:lang w:eastAsia="en-US"/>
        </w:rPr>
      </w:pPr>
      <w:r>
        <w:rPr>
          <w:b/>
          <w:color w:val="000000"/>
          <w:u w:val="single"/>
          <w:lang w:eastAsia="en-US"/>
        </w:rPr>
        <w:t>Enron Global Markets - Coal Trading</w:t>
      </w:r>
    </w:p>
    <w:p>
      <w:pPr>
        <w:pStyle w:val="Normal"/>
        <w:widowControl w:val="false"/>
        <w:tabs>
          <w:tab w:val="left" w:pos="720" w:leader="none"/>
          <w:tab w:val="left" w:pos="2520" w:leader="none"/>
        </w:tabs>
        <w:spacing w:before="193" w:after="0"/>
        <w:rPr>
          <w:color w:val="000000"/>
          <w:sz w:val="25"/>
          <w:lang w:eastAsia="en-US"/>
        </w:rPr>
      </w:pPr>
      <w:r>
        <w:rPr>
          <w:rFonts w:cs="MS Sans Serif" w:ascii="MS Sans Serif" w:hAnsi="MS Sans Serif"/>
          <w:sz w:val="24"/>
          <w:lang w:eastAsia="en-US"/>
        </w:rPr>
        <w:tab/>
      </w:r>
      <w:r>
        <w:rPr>
          <w:color w:val="000000"/>
          <w:lang w:eastAsia="en-US"/>
        </w:rPr>
        <w:t>Violation:</w:t>
      </w:r>
      <w:r>
        <w:rPr>
          <w:rFonts w:cs="MS Sans Serif" w:ascii="MS Sans Serif" w:hAnsi="MS Sans Serif"/>
          <w:sz w:val="24"/>
          <w:lang w:eastAsia="en-US"/>
        </w:rPr>
        <w:tab/>
      </w:r>
      <w:r>
        <w:rPr>
          <w:color w:val="000000"/>
          <w:lang w:eastAsia="en-US"/>
        </w:rPr>
        <w:t>Net Open Position Limit</w:t>
      </w:r>
    </w:p>
    <w:p>
      <w:pPr>
        <w:pStyle w:val="Normal"/>
        <w:widowControl w:val="false"/>
        <w:tabs>
          <w:tab w:val="left" w:pos="720" w:leader="none"/>
          <w:tab w:val="left" w:pos="2520" w:leader="none"/>
        </w:tabs>
        <w:spacing w:before="88" w:after="0"/>
        <w:rPr>
          <w:color w:val="000000"/>
          <w:sz w:val="25"/>
          <w:lang w:eastAsia="en-US"/>
        </w:rPr>
      </w:pPr>
      <w:r>
        <w:rPr>
          <w:rFonts w:cs="MS Sans Serif" w:ascii="MS Sans Serif" w:hAnsi="MS Sans Serif"/>
          <w:sz w:val="24"/>
          <w:lang w:eastAsia="en-US"/>
        </w:rPr>
        <w:tab/>
      </w:r>
      <w:r>
        <w:rPr>
          <w:color w:val="000000"/>
          <w:lang w:eastAsia="en-US"/>
        </w:rPr>
        <w:t>Limit:</w:t>
      </w:r>
      <w:r>
        <w:rPr>
          <w:rFonts w:cs="MS Sans Serif" w:ascii="MS Sans Serif" w:hAnsi="MS Sans Serif"/>
          <w:sz w:val="24"/>
          <w:lang w:eastAsia="en-US"/>
        </w:rPr>
        <w:tab/>
      </w:r>
      <w:r>
        <w:rPr>
          <w:color w:val="000000"/>
          <w:lang w:eastAsia="en-US"/>
        </w:rPr>
        <w:t>15 Million Tons</w:t>
      </w:r>
    </w:p>
    <w:p>
      <w:pPr>
        <w:pStyle w:val="Normal"/>
        <w:widowControl w:val="false"/>
        <w:tabs>
          <w:tab w:val="left" w:pos="720" w:leader="none"/>
          <w:tab w:val="left" w:pos="2520" w:leader="none"/>
        </w:tabs>
        <w:spacing w:before="73" w:after="0"/>
        <w:rPr>
          <w:color w:val="000000"/>
          <w:sz w:val="25"/>
          <w:lang w:eastAsia="en-US"/>
        </w:rPr>
      </w:pPr>
      <w:r>
        <w:rPr>
          <w:rFonts w:cs="MS Sans Serif" w:ascii="MS Sans Serif" w:hAnsi="MS Sans Serif"/>
          <w:sz w:val="24"/>
          <w:lang w:eastAsia="en-US"/>
        </w:rPr>
        <w:tab/>
      </w:r>
      <w:r>
        <w:rPr>
          <w:color w:val="000000"/>
          <w:lang w:eastAsia="en-US"/>
        </w:rPr>
        <w:t>Net Open Position:</w:t>
      </w:r>
      <w:r>
        <w:rPr>
          <w:rFonts w:cs="MS Sans Serif" w:ascii="MS Sans Serif" w:hAnsi="MS Sans Serif"/>
          <w:sz w:val="24"/>
          <w:lang w:eastAsia="en-US"/>
        </w:rPr>
        <w:tab/>
      </w:r>
      <w:r>
        <w:rPr>
          <w:color w:val="000000"/>
          <w:lang w:eastAsia="en-US"/>
        </w:rPr>
        <w:t>(18.4) Million Tons</w:t>
      </w:r>
    </w:p>
    <w:p>
      <w:pPr>
        <w:pStyle w:val="Normal"/>
        <w:widowControl w:val="false"/>
        <w:tabs>
          <w:tab w:val="left" w:pos="720" w:leader="none"/>
        </w:tabs>
        <w:spacing w:before="253" w:after="0"/>
        <w:rPr>
          <w:color w:val="000000"/>
        </w:rPr>
      </w:pPr>
      <w:r>
        <w:rPr>
          <w:rFonts w:cs="MS Sans Serif" w:ascii="MS Sans Serif" w:hAnsi="MS Sans Serif"/>
          <w:sz w:val="24"/>
          <w:lang w:eastAsia="en-US"/>
        </w:rPr>
        <w:tab/>
      </w:r>
      <w:r>
        <w:rPr>
          <w:b/>
          <w:color w:val="000000"/>
          <w:lang w:eastAsia="en-US"/>
        </w:rPr>
        <w:t>Explanation:</w:t>
      </w:r>
    </w:p>
    <w:p>
      <w:pPr>
        <w:pStyle w:val="Normal"/>
        <w:widowControl w:val="false"/>
        <w:tabs>
          <w:tab w:val="clear" w:pos="720"/>
          <w:tab w:val="left" w:pos="2340" w:leader="none"/>
        </w:tabs>
        <w:ind w:start="2340" w:end="1524"/>
        <w:rPr>
          <w:sz w:val="22"/>
        </w:rPr>
      </w:pPr>
      <w:r>
        <w:rPr>
          <w:color w:val="000000"/>
        </w:rPr>
        <w:t xml:space="preserve">Coal desk entered into a 7 year MTM contract to sell coal. The coal desk feels their true </w:t>
      </w:r>
      <w:r>
        <w:rPr/>
        <w:t>NOP is relatively flat if their existing 7-year accrual based contract to buy coal was captured</w:t>
      </w:r>
      <w:r>
        <w:rPr>
          <w:sz w:val="22"/>
        </w:rPr>
        <w:t xml:space="preserve"> </w:t>
      </w:r>
      <w:r>
        <w:rPr/>
        <w:t>in the books.  Limit issue due to differing accounting methodology to be addressed.</w:t>
      </w:r>
    </w:p>
    <w:p>
      <w:pPr>
        <w:pStyle w:val="Normal"/>
        <w:tabs>
          <w:tab w:val="clear" w:pos="720"/>
          <w:tab w:val="left" w:pos="2160" w:leader="none"/>
        </w:tabs>
        <w:spacing w:lineRule="atLeast" w:line="240"/>
        <w:ind w:hanging="1800" w:start="2520" w:end="0"/>
        <w:rPr>
          <w:b/>
          <w:color w:val="000000"/>
          <w:sz w:val="22"/>
          <w:lang w:eastAsia="en-US"/>
        </w:rPr>
      </w:pPr>
      <w:r>
        <w:rPr>
          <w:b/>
          <w:color w:val="000000"/>
          <w:sz w:val="22"/>
          <w:lang w:eastAsia="en-US"/>
        </w:rPr>
      </w:r>
    </w:p>
    <w:p>
      <w:pPr>
        <w:pStyle w:val="Normal"/>
        <w:tabs>
          <w:tab w:val="clear" w:pos="720"/>
          <w:tab w:val="left" w:pos="2160" w:leader="none"/>
        </w:tabs>
        <w:spacing w:lineRule="atLeast" w:line="240"/>
        <w:ind w:hanging="1800" w:start="2520" w:end="0"/>
        <w:rPr>
          <w:b/>
          <w:color w:val="000000"/>
          <w:lang w:eastAsia="en-US"/>
        </w:rPr>
      </w:pPr>
      <w:r>
        <w:rPr>
          <w:b/>
          <w:color w:val="000000"/>
          <w:lang w:eastAsia="en-US"/>
        </w:rPr>
        <w:t>RAC Comments:</w:t>
        <w:tab/>
      </w:r>
    </w:p>
    <w:p>
      <w:pPr>
        <w:pStyle w:val="Normal"/>
        <w:tabs>
          <w:tab w:val="clear" w:pos="720"/>
          <w:tab w:val="left" w:pos="2340" w:leader="none"/>
        </w:tabs>
        <w:spacing w:lineRule="atLeast" w:line="240"/>
        <w:ind w:hanging="1620" w:start="2340" w:end="1524"/>
        <w:rPr>
          <w:b/>
          <w:color w:val="000000"/>
          <w:sz w:val="25"/>
          <w:lang w:eastAsia="en-US"/>
        </w:rPr>
      </w:pPr>
      <w:r>
        <w:rPr>
          <w:b/>
          <w:color w:val="000000"/>
          <w:lang w:eastAsia="en-US"/>
        </w:rPr>
        <w:tab/>
      </w:r>
      <w:r>
        <w:rPr>
          <w:color w:val="000000"/>
          <w:lang w:eastAsia="en-US"/>
        </w:rPr>
        <w:t>Differing accounting treatments for positions (accrual v. MTM) is not an acceptable justification for exceeding limits.  Current limits are designed, inter alia, to protect published earnings from large and unusual swings due to movements in commodity markets.</w:t>
      </w:r>
    </w:p>
    <w:p>
      <w:pPr>
        <w:pStyle w:val="Normal"/>
        <w:widowControl w:val="false"/>
        <w:tabs>
          <w:tab w:val="left" w:pos="720" w:leader="none"/>
        </w:tabs>
        <w:spacing w:before="373" w:after="0"/>
        <w:rPr>
          <w:b/>
          <w:color w:val="000000"/>
          <w:sz w:val="25"/>
          <w:lang w:eastAsia="en-US"/>
        </w:rPr>
      </w:pPr>
      <w:r>
        <w:rPr>
          <w:rFonts w:cs="MS Sans Serif" w:ascii="MS Sans Serif" w:hAnsi="MS Sans Serif"/>
          <w:sz w:val="24"/>
          <w:lang w:eastAsia="en-US"/>
        </w:rPr>
        <w:tab/>
      </w:r>
      <w:r>
        <w:rPr>
          <w:b/>
          <w:lang w:eastAsia="en-US"/>
        </w:rPr>
        <w:t>RAC</w:t>
      </w:r>
      <w:r>
        <w:rPr>
          <w:rFonts w:cs="MS Sans Serif" w:ascii="MS Sans Serif" w:hAnsi="MS Sans Serif"/>
          <w:sz w:val="24"/>
          <w:lang w:eastAsia="en-US"/>
        </w:rPr>
        <w:t xml:space="preserve"> </w:t>
      </w:r>
      <w:r>
        <w:rPr>
          <w:b/>
          <w:color w:val="000000"/>
          <w:lang w:eastAsia="en-US"/>
        </w:rPr>
        <w:t>Recommended Course of Action:</w:t>
      </w:r>
    </w:p>
    <w:p>
      <w:pPr>
        <w:pStyle w:val="Normal"/>
        <w:widowControl w:val="false"/>
        <w:tabs>
          <w:tab w:val="clear" w:pos="720"/>
          <w:tab w:val="right" w:pos="2160" w:leader="none"/>
          <w:tab w:val="left" w:pos="2250" w:leader="none"/>
          <w:tab w:val="right" w:pos="5040" w:leader="none"/>
          <w:tab w:val="left" w:pos="5130" w:leader="none"/>
          <w:tab w:val="right" w:pos="7920" w:leader="none"/>
          <w:tab w:val="left" w:pos="8010" w:leader="none"/>
        </w:tabs>
        <w:rPr>
          <w:rFonts w:ascii="Map Symbols" w:hAnsi="Map Symbols" w:cs="Map Symbols"/>
          <w:b/>
          <w:color w:val="000000"/>
          <w:sz w:val="47"/>
          <w:lang w:eastAsia="en-US"/>
        </w:rPr>
      </w:pPr>
      <w:r>
        <w:rPr>
          <w:rFonts w:cs="MS Sans Serif" w:ascii="MS Sans Serif" w:hAnsi="MS Sans Serif"/>
          <w:sz w:val="24"/>
          <w:lang w:eastAsia="en-US"/>
        </w:rPr>
        <w:tab/>
      </w:r>
      <w:r>
        <w:rPr>
          <w:color w:val="000000"/>
          <w:lang w:eastAsia="en-US"/>
        </w:rPr>
        <w:t xml:space="preserve">Increase </w:t>
      </w:r>
      <w:r>
        <w:rPr>
          <w:rFonts w:cs="MS Sans Serif" w:ascii="MS Sans Serif" w:hAnsi="MS Sans Serif"/>
          <w:sz w:val="24"/>
          <w:lang w:eastAsia="en-US"/>
        </w:rPr>
        <w:tab/>
      </w:r>
      <w:r>
        <w:rPr>
          <w:rFonts w:cs="Map Symbols" w:ascii="Map Symbols" w:hAnsi="Map Symbols"/>
          <w:b/>
          <w:color w:val="000000"/>
          <w:sz w:val="56"/>
          <w:lang w:eastAsia="en-US"/>
        </w:rPr>
        <w:t>'</w:t>
      </w:r>
      <w:r>
        <w:rPr>
          <w:rFonts w:cs="MS Sans Serif" w:ascii="MS Sans Serif" w:hAnsi="MS Sans Serif"/>
          <w:sz w:val="24"/>
          <w:lang w:eastAsia="en-US"/>
        </w:rPr>
        <w:tab/>
      </w:r>
      <w:r>
        <w:rPr>
          <w:color w:val="000000"/>
          <w:lang w:eastAsia="en-US"/>
        </w:rPr>
        <w:t xml:space="preserve">Decrease </w:t>
      </w:r>
      <w:r>
        <w:rPr>
          <w:rFonts w:cs="MS Sans Serif" w:ascii="MS Sans Serif" w:hAnsi="MS Sans Serif"/>
          <w:sz w:val="24"/>
          <w:lang w:eastAsia="en-US"/>
        </w:rPr>
        <w:tab/>
      </w:r>
      <w:r>
        <w:rPr>
          <w:rFonts w:cs="Map Symbols" w:ascii="Map Symbols" w:hAnsi="Map Symbols"/>
          <w:b/>
          <w:color w:val="000000"/>
          <w:sz w:val="56"/>
          <w:lang w:eastAsia="en-US"/>
        </w:rPr>
        <w:t>'</w:t>
      </w:r>
      <w:r>
        <w:rPr>
          <w:rFonts w:cs="MS Sans Serif" w:ascii="MS Sans Serif" w:hAnsi="MS Sans Serif"/>
          <w:sz w:val="24"/>
          <w:lang w:eastAsia="en-US"/>
        </w:rPr>
        <w:tab/>
      </w:r>
      <w:r>
        <w:rPr>
          <w:color w:val="000000"/>
          <w:lang w:eastAsia="en-US"/>
        </w:rPr>
        <w:t>No Action</w:t>
      </w:r>
      <w:r>
        <w:rPr>
          <w:rFonts w:cs="MS Sans Serif" w:ascii="MS Sans Serif" w:hAnsi="MS Sans Serif"/>
          <w:sz w:val="24"/>
          <w:lang w:eastAsia="en-US"/>
        </w:rPr>
        <w:tab/>
      </w:r>
      <w:r>
        <w:rPr>
          <w:rFonts w:cs="Map Symbols" w:ascii="Map Symbols" w:hAnsi="Map Symbols"/>
          <w:b/>
          <w:color w:val="000000"/>
          <w:sz w:val="56"/>
          <w:lang w:eastAsia="en-US"/>
        </w:rPr>
        <w:t>'</w:t>
      </w:r>
    </w:p>
    <w:p>
      <w:pPr>
        <w:pStyle w:val="Normal"/>
        <w:widowControl w:val="false"/>
        <w:tabs>
          <w:tab w:val="left" w:pos="720" w:leader="none"/>
        </w:tabs>
        <w:spacing w:before="373" w:after="0"/>
        <w:rPr>
          <w:b/>
          <w:color w:val="000000"/>
          <w:lang w:eastAsia="en-US"/>
        </w:rPr>
      </w:pPr>
      <w:r>
        <w:rPr>
          <w:b/>
          <w:color w:val="000000"/>
          <w:lang w:eastAsia="en-US"/>
        </w:rPr>
        <w:tab/>
      </w:r>
    </w:p>
    <w:p>
      <w:pPr>
        <w:pStyle w:val="Normal"/>
        <w:widowControl w:val="false"/>
        <w:tabs>
          <w:tab w:val="clear" w:pos="720"/>
          <w:tab w:val="right" w:pos="2160" w:leader="none"/>
          <w:tab w:val="left" w:pos="2250" w:leader="none"/>
          <w:tab w:val="right" w:pos="5040" w:leader="none"/>
          <w:tab w:val="left" w:pos="5130" w:leader="none"/>
          <w:tab w:val="right" w:pos="7920" w:leader="none"/>
          <w:tab w:val="left" w:pos="8010" w:leader="none"/>
        </w:tabs>
        <w:rPr>
          <w:b/>
          <w:color w:val="000000"/>
          <w:lang w:eastAsia="en-US"/>
        </w:rPr>
      </w:pPr>
      <w:r>
        <w:rPr>
          <w:b/>
          <w:color w:val="000000"/>
          <w:lang w:eastAsia="en-US"/>
        </w:rPr>
        <w:tab/>
      </w:r>
    </w:p>
    <w:p>
      <w:pPr>
        <w:pStyle w:val="Normal"/>
        <w:widowControl w:val="false"/>
        <w:tabs>
          <w:tab w:val="clear" w:pos="720"/>
          <w:tab w:val="right" w:pos="2160" w:leader="none"/>
          <w:tab w:val="left" w:pos="2250" w:leader="none"/>
          <w:tab w:val="right" w:pos="5040" w:leader="none"/>
          <w:tab w:val="left" w:pos="5130" w:leader="none"/>
          <w:tab w:val="right" w:pos="7920" w:leader="none"/>
          <w:tab w:val="left" w:pos="8010" w:leader="none"/>
        </w:tabs>
        <w:rPr>
          <w:b/>
          <w:color w:val="000000"/>
          <w:lang w:eastAsia="en-US"/>
        </w:rPr>
      </w:pPr>
      <w:r>
        <w:rPr>
          <w:b/>
          <w:color w:val="000000"/>
          <w:lang w:eastAsia="en-US"/>
        </w:rPr>
      </w:r>
    </w:p>
    <w:p>
      <w:pPr>
        <w:pStyle w:val="Normal"/>
        <w:widowControl w:val="false"/>
        <w:tabs>
          <w:tab w:val="clear" w:pos="720"/>
          <w:tab w:val="right" w:pos="2160" w:leader="none"/>
          <w:tab w:val="left" w:pos="2250" w:leader="none"/>
          <w:tab w:val="right" w:pos="5040" w:leader="none"/>
          <w:tab w:val="left" w:pos="5130" w:leader="none"/>
          <w:tab w:val="right" w:pos="7920" w:leader="none"/>
          <w:tab w:val="left" w:pos="8010" w:leader="none"/>
        </w:tabs>
        <w:rPr>
          <w:rFonts w:ascii="Map Symbols" w:hAnsi="Map Symbols" w:cs="Map Symbols"/>
          <w:b/>
          <w:color w:val="000000"/>
          <w:sz w:val="47"/>
          <w:lang w:eastAsia="en-US"/>
        </w:rPr>
      </w:pPr>
      <w:r>
        <w:rPr>
          <w:rFonts w:cs="Map Symbols" w:ascii="Map Symbols" w:hAnsi="Map Symbols"/>
          <w:b/>
          <w:color w:val="000000"/>
          <w:sz w:val="47"/>
          <w:lang w:eastAsia="en-US"/>
        </w:rPr>
      </w:r>
    </w:p>
    <w:p>
      <w:pPr>
        <w:pStyle w:val="Normal"/>
        <w:widowControl w:val="false"/>
        <w:tabs>
          <w:tab w:val="clear" w:pos="720"/>
          <w:tab w:val="right" w:pos="2160" w:leader="none"/>
          <w:tab w:val="left" w:pos="2250" w:leader="none"/>
          <w:tab w:val="right" w:pos="5040" w:leader="none"/>
          <w:tab w:val="left" w:pos="5130" w:leader="none"/>
          <w:tab w:val="right" w:pos="7920" w:leader="none"/>
          <w:tab w:val="left" w:pos="8010" w:leader="none"/>
        </w:tabs>
        <w:rPr>
          <w:rFonts w:ascii="Map Symbols" w:hAnsi="Map Symbols" w:cs="Map Symbols"/>
          <w:b/>
          <w:color w:val="000000"/>
          <w:sz w:val="47"/>
          <w:lang w:eastAsia="en-US"/>
        </w:rPr>
      </w:pPr>
      <w:r>
        <w:rPr>
          <w:rFonts w:cs="Map Symbols" w:ascii="Map Symbols" w:hAnsi="Map Symbols"/>
          <w:b/>
          <w:color w:val="000000"/>
          <w:sz w:val="47"/>
          <w:lang w:eastAsia="en-US"/>
        </w:rPr>
      </w:r>
    </w:p>
    <w:p>
      <w:pPr>
        <w:pStyle w:val="Normal"/>
        <w:widowControl w:val="false"/>
        <w:tabs>
          <w:tab w:val="clear" w:pos="720"/>
          <w:tab w:val="right" w:pos="2160" w:leader="none"/>
          <w:tab w:val="left" w:pos="2250" w:leader="none"/>
          <w:tab w:val="right" w:pos="5040" w:leader="none"/>
          <w:tab w:val="left" w:pos="5130" w:leader="none"/>
          <w:tab w:val="right" w:pos="7920" w:leader="none"/>
          <w:tab w:val="left" w:pos="8010" w:leader="none"/>
        </w:tabs>
        <w:rPr>
          <w:rFonts w:ascii="Map Symbols" w:hAnsi="Map Symbols" w:cs="Map Symbols"/>
          <w:b/>
          <w:color w:val="000000"/>
          <w:sz w:val="47"/>
          <w:lang w:eastAsia="en-US"/>
        </w:rPr>
      </w:pPr>
      <w:r>
        <w:rPr>
          <w:rFonts w:cs="Map Symbols" w:ascii="Map Symbols" w:hAnsi="Map Symbols"/>
          <w:b/>
          <w:color w:val="000000"/>
          <w:sz w:val="47"/>
          <w:lang w:eastAsia="en-US"/>
        </w:rPr>
      </w:r>
    </w:p>
    <w:p>
      <w:pPr>
        <w:pStyle w:val="Normal"/>
        <w:widowControl w:val="false"/>
        <w:tabs>
          <w:tab w:val="clear" w:pos="720"/>
          <w:tab w:val="right" w:pos="2160" w:leader="none"/>
          <w:tab w:val="left" w:pos="2250" w:leader="none"/>
          <w:tab w:val="right" w:pos="5040" w:leader="none"/>
          <w:tab w:val="left" w:pos="5130" w:leader="none"/>
          <w:tab w:val="right" w:pos="7920" w:leader="none"/>
          <w:tab w:val="left" w:pos="8010" w:leader="none"/>
        </w:tabs>
        <w:rPr>
          <w:rFonts w:ascii="Map Symbols" w:hAnsi="Map Symbols" w:cs="Map Symbols"/>
          <w:b/>
          <w:color w:val="000000"/>
          <w:sz w:val="47"/>
          <w:lang w:eastAsia="en-US"/>
        </w:rPr>
      </w:pPr>
      <w:r>
        <w:rPr>
          <w:rFonts w:cs="Map Symbols" w:ascii="Map Symbols" w:hAnsi="Map Symbols"/>
          <w:b/>
          <w:color w:val="000000"/>
          <w:sz w:val="47"/>
          <w:lang w:eastAsia="en-US"/>
        </w:rPr>
      </w:r>
    </w:p>
    <w:p>
      <w:pPr>
        <w:pStyle w:val="Normal"/>
        <w:widowControl w:val="false"/>
        <w:tabs>
          <w:tab w:val="clear" w:pos="720"/>
          <w:tab w:val="right" w:pos="2160" w:leader="none"/>
          <w:tab w:val="left" w:pos="2250" w:leader="none"/>
          <w:tab w:val="right" w:pos="5040" w:leader="none"/>
          <w:tab w:val="left" w:pos="5130" w:leader="none"/>
          <w:tab w:val="right" w:pos="7920" w:leader="none"/>
          <w:tab w:val="left" w:pos="8010" w:leader="none"/>
        </w:tabs>
        <w:rPr>
          <w:b/>
          <w:color w:val="000000"/>
          <w:sz w:val="25"/>
          <w:lang w:eastAsia="en-US"/>
        </w:rPr>
      </w:pPr>
      <w:r>
        <w:rPr>
          <w:b/>
          <w:color w:val="000000"/>
          <w:lang w:eastAsia="en-US"/>
        </w:rPr>
        <w:t>Approvals:</w:t>
      </w:r>
    </w:p>
    <w:p>
      <w:pPr>
        <w:pStyle w:val="Normal"/>
        <w:widowControl w:val="false"/>
        <w:tabs>
          <w:tab w:val="clear" w:pos="720"/>
          <w:tab w:val="left" w:pos="90" w:leader="none"/>
          <w:tab w:val="left" w:pos="1200" w:leader="none"/>
          <w:tab w:val="left" w:pos="4680" w:leader="none"/>
          <w:tab w:val="right" w:pos="10080" w:leader="none"/>
        </w:tabs>
        <w:spacing w:before="73" w:after="0"/>
        <w:rPr>
          <w:b/>
          <w:color w:val="000000"/>
          <w:sz w:val="39"/>
          <w:lang w:eastAsia="en-US"/>
        </w:rPr>
      </w:pPr>
      <w:r>
        <w:rPr>
          <w:color w:val="000000"/>
          <w:lang w:eastAsia="en-US"/>
        </w:rPr>
        <w:t>Trader</w:t>
      </w:r>
      <w:r>
        <w:rPr>
          <w:rFonts w:cs="MS Sans Serif" w:ascii="MS Sans Serif" w:hAnsi="MS Sans Serif"/>
          <w:sz w:val="24"/>
          <w:lang w:eastAsia="en-US"/>
        </w:rPr>
        <w:tab/>
      </w:r>
      <w:r>
        <w:rPr>
          <w:b/>
          <w:color w:val="000000"/>
          <w:sz w:val="32"/>
          <w:lang w:eastAsia="en-US"/>
        </w:rPr>
        <w:t>—————————</w:t>
      </w:r>
      <w:r>
        <w:rPr>
          <w:rFonts w:cs="MS Sans Serif" w:ascii="MS Sans Serif" w:hAnsi="MS Sans Serif"/>
          <w:sz w:val="24"/>
          <w:lang w:eastAsia="en-US"/>
        </w:rPr>
        <w:tab/>
      </w:r>
      <w:r>
        <w:rPr>
          <w:color w:val="000000"/>
          <w:lang w:eastAsia="en-US"/>
        </w:rPr>
        <w:t>Risk Assessment and Control</w:t>
      </w:r>
      <w:r>
        <w:rPr>
          <w:rFonts w:cs="MS Sans Serif" w:ascii="MS Sans Serif" w:hAnsi="MS Sans Serif"/>
          <w:sz w:val="24"/>
          <w:lang w:eastAsia="en-US"/>
        </w:rPr>
        <w:tab/>
      </w:r>
      <w:r>
        <w:rPr>
          <w:b/>
          <w:color w:val="000000"/>
          <w:sz w:val="32"/>
          <w:lang w:eastAsia="en-US"/>
        </w:rPr>
        <w:t>—————————</w:t>
      </w:r>
    </w:p>
    <w:p>
      <w:pPr>
        <w:pStyle w:val="Normal"/>
        <w:widowControl w:val="false"/>
        <w:tabs>
          <w:tab w:val="clear" w:pos="720"/>
          <w:tab w:val="left" w:pos="90" w:leader="none"/>
          <w:tab w:val="center" w:pos="3225" w:leader="none"/>
          <w:tab w:val="center" w:pos="6360" w:leader="none"/>
          <w:tab w:val="right" w:pos="10080" w:leader="none"/>
        </w:tabs>
        <w:spacing w:before="116" w:after="0"/>
        <w:rPr/>
      </w:pPr>
      <w:r>
        <w:rPr>
          <w:b/>
          <w:color w:val="000000"/>
          <w:sz w:val="16"/>
          <w:lang w:eastAsia="en-US"/>
        </w:rPr>
        <w:t>Respect</w:t>
      </w:r>
      <w:r>
        <w:rPr>
          <w:rFonts w:cs="MS Sans Serif" w:ascii="MS Sans Serif" w:hAnsi="MS Sans Serif"/>
          <w:sz w:val="24"/>
          <w:lang w:eastAsia="en-US"/>
        </w:rPr>
        <w:tab/>
      </w:r>
      <w:r>
        <w:rPr>
          <w:b/>
          <w:color w:val="000000"/>
          <w:sz w:val="16"/>
          <w:lang w:eastAsia="en-US"/>
        </w:rPr>
        <w:t>Integrity</w:t>
      </w:r>
      <w:r>
        <w:rPr>
          <w:rFonts w:cs="MS Sans Serif" w:ascii="MS Sans Serif" w:hAnsi="MS Sans Serif"/>
          <w:sz w:val="24"/>
          <w:lang w:eastAsia="en-US"/>
        </w:rPr>
        <w:tab/>
      </w:r>
      <w:r>
        <w:rPr>
          <w:b/>
          <w:color w:val="000000"/>
          <w:sz w:val="16"/>
          <w:lang w:eastAsia="en-US"/>
        </w:rPr>
        <w:t>Communication</w:t>
      </w:r>
      <w:r>
        <w:rPr>
          <w:rFonts w:cs="MS Sans Serif" w:ascii="MS Sans Serif" w:hAnsi="MS Sans Serif"/>
          <w:sz w:val="24"/>
          <w:lang w:eastAsia="en-US"/>
        </w:rPr>
        <w:tab/>
      </w:r>
      <w:r>
        <w:rPr>
          <w:b/>
          <w:color w:val="000000"/>
          <w:sz w:val="16"/>
          <w:lang w:eastAsia="en-US"/>
        </w:rPr>
        <w:t>Excellence</w:t>
      </w:r>
    </w:p>
    <w:sectPr>
      <w:type w:val="nextPage"/>
      <w:pgSz w:w="12240" w:h="15840"/>
      <w:pgMar w:left="720" w:right="636"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0" w:characterSet="windows-1252"/>
    <w:family w:val="swiss"/>
    <w:pitch w:val="variable"/>
  </w:font>
  <w:font w:name="Map Symbols">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widowControl w:val="false"/>
      <w:tabs>
        <w:tab w:val="clear" w:pos="720"/>
        <w:tab w:val="left" w:pos="2160" w:leader="none"/>
      </w:tabs>
      <w:ind w:hanging="0" w:start="2160" w:end="1524"/>
    </w:pPr>
    <w:rPr>
      <w:color w:val="00000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2001-02-13T17:56:00Z</dcterms:created>
  <dc:creator>mbenien</dc:creator>
  <dc:description/>
  <dc:language>en-CA</dc:language>
  <cp:lastModifiedBy>mbenien</cp:lastModifiedBy>
  <cp:lastPrinted>2001-01-25T15:27:00Z</cp:lastPrinted>
  <dcterms:modified xsi:type="dcterms:W3CDTF">2001-02-13T17:58:00Z</dcterms:modified>
  <cp:revision>3</cp:revision>
  <dc:subject/>
  <dc:title/>
</cp:coreProperties>
</file>