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Thursday, February 07 – “mock ETX” test </w:t>
      </w:r>
    </w:p>
    <w:p>
      <w:pPr>
        <w:pStyle w:val="Normal"/>
        <w:rPr>
          <w:sz w:val="20"/>
        </w:rPr>
      </w:pPr>
      <w:r>
        <w:rPr>
          <w:sz w:val="20"/>
        </w:rPr>
        <w:t>Bridge line open – 800-711-8000, code #3454709</w:t>
      </w:r>
    </w:p>
    <w:p>
      <w:pPr>
        <w:pStyle w:val="Normal"/>
        <w:rPr>
          <w:sz w:val="20"/>
        </w:rPr>
      </w:pPr>
      <w:r>
        <w:rPr>
          <w:sz w:val="20"/>
        </w:rPr>
        <w:t>Testers are requested to participate at the times in the labs below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>Gas – Lab location – ECS 05442 (near Dermott color printer sign; center of room)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autoSpaceDE w:val="true"/>
              <w:ind w:hanging="0" w:star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Thu Feb 07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9:00am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 – 11am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Dawn Kenne/ </w:t>
            </w:r>
            <w:r>
              <w:rPr>
                <w:sz w:val="20"/>
              </w:rPr>
              <w:t>Tara Sweitzer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Scott Palmer – Deal 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Ellen Wallumrod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Sherry Anastas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Settlements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- Unify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–SAP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>Power/ Financial – Lab location – ECS 05442 (near Dermott color printer sign; center of room)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  <w:t>Thu Feb 07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9:00am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9 – 11am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Melba Lozano/ Tara Sweitzer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Power Confirms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2002-02-06T18:46:00Z</cp:lastPrinted>
  <dcterms:modified xsi:type="dcterms:W3CDTF">2002-02-06T22:17:00Z</dcterms:modified>
  <cp:revision>38</cp:revision>
  <dc:subject/>
  <dc:title>Preliminary Schedule </dc:title>
</cp:coreProperties>
</file>