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autoSpaceDE w:val="true"/>
        <w:ind w:hanging="0" w:start="0"/>
        <w:rPr>
          <w:szCs w:val="24"/>
        </w:rPr>
      </w:pPr>
      <w:r>
        <w:rPr>
          <w:szCs w:val="24"/>
        </w:rPr>
        <w:t>Data requests for Global Setup – preliminary – updates to follow</w:t>
      </w:r>
    </w:p>
    <w:p>
      <w:pPr>
        <w:pStyle w:val="Normal"/>
        <w:rPr>
          <w:rFonts w:ascii="Arial" w:hAnsi="Arial" w:cs="Arial"/>
          <w:sz w:val="20"/>
          <w:szCs w:val="24"/>
        </w:rPr>
      </w:pPr>
      <w:r>
        <w:rPr>
          <w:rFonts w:cs="Arial" w:ascii="Arial" w:hAnsi="Arial"/>
          <w:sz w:val="20"/>
          <w:szCs w:val="24"/>
        </w:rPr>
      </w:r>
    </w:p>
    <w:p>
      <w:pPr>
        <w:pStyle w:val="Normal"/>
        <w:rPr>
          <w:rFonts w:ascii="Arial" w:hAnsi="Arial" w:cs="Arial"/>
          <w:sz w:val="20"/>
        </w:rPr>
      </w:pPr>
      <w:r>
        <w:rPr>
          <w:rFonts w:cs="Arial" w:ascii="Arial" w:hAnsi="Arial"/>
          <w:sz w:val="20"/>
        </w:rPr>
        <w:t>In order to satisfy the regression test for 02/04, we need the following information setup:</w:t>
      </w:r>
    </w:p>
    <w:p>
      <w:pPr>
        <w:pStyle w:val="Normal"/>
        <w:rPr>
          <w:rFonts w:ascii="Arial" w:hAnsi="Arial" w:cs="Arial"/>
          <w:sz w:val="20"/>
        </w:rPr>
      </w:pPr>
      <w:r>
        <w:rPr>
          <w:rFonts w:cs="Arial" w:ascii="Arial" w:hAnsi="Arial"/>
          <w:sz w:val="20"/>
        </w:rPr>
      </w:r>
    </w:p>
    <w:p>
      <w:pPr>
        <w:pStyle w:val="Heading6"/>
        <w:ind w:hanging="0" w:start="0"/>
        <w:rPr/>
      </w:pPr>
      <w:r>
        <w:rPr/>
        <w:t>Transaction type scenarios</w:t>
      </w:r>
    </w:p>
    <w:p>
      <w:pPr>
        <w:pStyle w:val="Normal"/>
        <w:rPr>
          <w:rFonts w:ascii="Arial" w:hAnsi="Arial" w:cs="Arial"/>
          <w:sz w:val="20"/>
        </w:rPr>
      </w:pPr>
      <w:r>
        <w:rPr>
          <w:rFonts w:cs="Arial" w:ascii="Arial" w:hAnsi="Arial"/>
          <w:sz w:val="20"/>
        </w:rPr>
        <w:t>Intercompany between (X and Y) – Gas Sale (X Seller rules)</w:t>
      </w:r>
    </w:p>
    <w:p>
      <w:pPr>
        <w:pStyle w:val="Normal"/>
        <w:rPr>
          <w:rFonts w:ascii="Arial" w:hAnsi="Arial" w:cs="Arial"/>
          <w:sz w:val="20"/>
        </w:rPr>
      </w:pPr>
      <w:r>
        <w:rPr>
          <w:rFonts w:cs="Arial" w:ascii="Arial" w:hAnsi="Arial"/>
          <w:sz w:val="20"/>
        </w:rPr>
        <w:t>Physical Gas Sale</w:t>
      </w:r>
    </w:p>
    <w:p>
      <w:pPr>
        <w:pStyle w:val="Normal"/>
        <w:rPr>
          <w:rFonts w:ascii="Arial" w:hAnsi="Arial" w:cs="Arial"/>
          <w:sz w:val="20"/>
        </w:rPr>
      </w:pPr>
      <w:r>
        <w:rPr>
          <w:rFonts w:cs="Arial" w:ascii="Arial" w:hAnsi="Arial"/>
          <w:sz w:val="20"/>
        </w:rPr>
        <w:t>Physical Power Supply</w:t>
      </w:r>
    </w:p>
    <w:p>
      <w:pPr>
        <w:pStyle w:val="Normal"/>
        <w:rPr>
          <w:rFonts w:ascii="Arial" w:hAnsi="Arial" w:cs="Arial"/>
          <w:sz w:val="20"/>
        </w:rPr>
      </w:pPr>
      <w:r>
        <w:rPr>
          <w:rFonts w:cs="Arial" w:ascii="Arial" w:hAnsi="Arial"/>
          <w:sz w:val="20"/>
        </w:rPr>
        <w:t>Physical Power Sale</w:t>
      </w:r>
    </w:p>
    <w:p>
      <w:pPr>
        <w:pStyle w:val="Normal"/>
        <w:rPr>
          <w:rFonts w:ascii="Arial" w:hAnsi="Arial" w:cs="Arial"/>
          <w:sz w:val="20"/>
        </w:rPr>
      </w:pPr>
      <w:r>
        <w:rPr>
          <w:rFonts w:cs="Arial" w:ascii="Arial" w:hAnsi="Arial"/>
          <w:sz w:val="20"/>
        </w:rPr>
        <w:t>Gas Financial Option Premium (Payable)</w:t>
      </w:r>
    </w:p>
    <w:p>
      <w:pPr>
        <w:pStyle w:val="Normal"/>
        <w:rPr>
          <w:rFonts w:ascii="Arial" w:hAnsi="Arial" w:cs="Arial"/>
          <w:sz w:val="20"/>
        </w:rPr>
      </w:pPr>
      <w:r>
        <w:rPr>
          <w:rFonts w:cs="Arial" w:ascii="Arial" w:hAnsi="Arial"/>
          <w:sz w:val="20"/>
        </w:rPr>
        <w:t>Power Financial Swap (Receivable)</w:t>
      </w:r>
    </w:p>
    <w:p>
      <w:pPr>
        <w:pStyle w:val="Normal"/>
        <w:rPr>
          <w:rFonts w:ascii="Arial" w:hAnsi="Arial" w:cs="Arial"/>
          <w:sz w:val="20"/>
        </w:rPr>
      </w:pPr>
      <w:r>
        <w:rPr>
          <w:rFonts w:cs="Arial" w:ascii="Arial" w:hAnsi="Arial"/>
          <w:sz w:val="20"/>
        </w:rPr>
      </w:r>
    </w:p>
    <w:p>
      <w:pPr>
        <w:pStyle w:val="Heading6"/>
        <w:ind w:hanging="0" w:start="0"/>
        <w:rPr/>
      </w:pPr>
      <w:r>
        <w:rPr/>
        <w:t>Counterparties &amp; Address information</w:t>
      </w:r>
    </w:p>
    <w:p>
      <w:pPr>
        <w:pStyle w:val="Normal"/>
        <w:rPr>
          <w:rFonts w:ascii="Arial" w:hAnsi="Arial" w:cs="Arial"/>
          <w:sz w:val="20"/>
          <w:szCs w:val="20"/>
        </w:rPr>
      </w:pPr>
      <w:r>
        <w:rPr>
          <w:rFonts w:cs="Arial" w:ascii="Arial" w:hAnsi="Arial"/>
          <w:sz w:val="20"/>
          <w:szCs w:val="20"/>
        </w:rPr>
        <w:t>The following are the counterparties that we are going to activate to be utilized for the Integration testing for EOL.  We picked counterparties that trade under the same name across Gas/Power Physical/Financial:</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Duke Energy Trading and Marketing, L.L.C.</w:t>
      </w:r>
    </w:p>
    <w:p>
      <w:pPr>
        <w:pStyle w:val="Normal"/>
        <w:rPr>
          <w:rFonts w:ascii="Arial" w:hAnsi="Arial" w:cs="Arial"/>
          <w:sz w:val="20"/>
          <w:szCs w:val="20"/>
        </w:rPr>
      </w:pPr>
      <w:r>
        <w:rPr>
          <w:rFonts w:cs="Arial" w:ascii="Arial" w:hAnsi="Arial"/>
          <w:sz w:val="20"/>
          <w:szCs w:val="20"/>
        </w:rPr>
        <w:t>Williams Energy Marketing &amp; Trading Company</w:t>
      </w:r>
    </w:p>
    <w:p>
      <w:pPr>
        <w:pStyle w:val="Normal"/>
        <w:rPr>
          <w:rFonts w:ascii="Arial" w:hAnsi="Arial" w:cs="Arial"/>
          <w:sz w:val="20"/>
          <w:szCs w:val="20"/>
        </w:rPr>
      </w:pPr>
      <w:r>
        <w:rPr>
          <w:rFonts w:cs="Arial" w:ascii="Arial" w:hAnsi="Arial"/>
          <w:sz w:val="20"/>
          <w:szCs w:val="20"/>
        </w:rPr>
        <w:t>Reliant Energy Services, Inc.</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Tennessee Gas Pipeline (for the pipeline)</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rPr>
      </w:pPr>
      <w:r>
        <w:rPr>
          <w:rFonts w:cs="Arial" w:ascii="Arial" w:hAnsi="Arial"/>
          <w:sz w:val="20"/>
        </w:rPr>
        <w:t>UBS London company   7001 UBS  AG London</w:t>
      </w:r>
    </w:p>
    <w:p>
      <w:pPr>
        <w:pStyle w:val="Normal"/>
        <w:rPr>
          <w:rFonts w:ascii="Arial" w:hAnsi="Arial" w:cs="Arial"/>
          <w:sz w:val="20"/>
        </w:rPr>
      </w:pPr>
      <w:r>
        <w:rPr>
          <w:rFonts w:cs="Arial" w:ascii="Arial" w:hAnsi="Arial"/>
          <w:sz w:val="20"/>
        </w:rPr>
        <w:t>UBS Canada company   7002 UBS Canada London</w:t>
      </w:r>
    </w:p>
    <w:p>
      <w:pPr>
        <w:pStyle w:val="Normal"/>
        <w:rPr>
          <w:rFonts w:ascii="Arial" w:hAnsi="Arial" w:cs="Arial"/>
          <w:sz w:val="20"/>
        </w:rPr>
      </w:pPr>
      <w:r>
        <w:rPr>
          <w:rFonts w:cs="Arial" w:ascii="Arial" w:hAnsi="Arial"/>
          <w:sz w:val="20"/>
        </w:rPr>
      </w:r>
    </w:p>
    <w:p>
      <w:pPr>
        <w:pStyle w:val="Heading6"/>
        <w:ind w:hanging="0" w:start="0"/>
        <w:rPr/>
      </w:pPr>
      <w:r>
        <w:rPr/>
        <w:t>Contracts</w:t>
      </w:r>
    </w:p>
    <w:p>
      <w:pPr>
        <w:pStyle w:val="Normal"/>
        <w:rPr>
          <w:rFonts w:ascii="Arial" w:hAnsi="Arial" w:cs="Arial"/>
          <w:sz w:val="20"/>
        </w:rPr>
      </w:pPr>
      <w:r>
        <w:rPr>
          <w:rFonts w:cs="Arial" w:ascii="Arial" w:hAnsi="Arial"/>
          <w:sz w:val="20"/>
        </w:rPr>
        <w:t>TBD</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sz w:val="20"/>
      <w:szCs w:val="20"/>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sz w:val="28"/>
    </w:rPr>
  </w:style>
  <w:style w:type="paragraph" w:styleId="Heading6">
    <w:name w:val="heading 6"/>
    <w:basedOn w:val="Normal"/>
    <w:next w:val="Normal"/>
    <w:qFormat/>
    <w:pPr>
      <w:keepNext w:val="true"/>
      <w:numPr>
        <w:ilvl w:val="5"/>
        <w:numId w:val="1"/>
      </w:numPr>
      <w:outlineLvl w:val="5"/>
    </w:pPr>
    <w:rPr>
      <w:rFonts w:ascii="Arial" w:hAnsi="Arial" w:cs="Arial"/>
      <w:sz w:val="20"/>
      <w:u w:val="single"/>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2002-01-09T18:59:00Z</dcterms:created>
  <dc:creator>scinelli</dc:creator>
  <dc:description/>
  <dc:language>en-CA</dc:language>
  <cp:lastModifiedBy>rsmith</cp:lastModifiedBy>
  <cp:lastPrinted>2002-01-25T08:55:00Z</cp:lastPrinted>
  <dcterms:modified xsi:type="dcterms:W3CDTF">2002-01-31T15:28:00Z</dcterms:modified>
  <cp:revision>34</cp:revision>
  <dc:subject/>
  <dc:title>Preliminary Schedule </dc:title>
</cp:coreProperties>
</file>