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2</w:t>
      </w:r>
      <w:r>
        <w:rPr>
          <w:sz w:val="24"/>
          <w:vertAlign w:val="superscript"/>
        </w:rPr>
        <w:t>nd</w:t>
      </w:r>
      <w:r>
        <w:rPr>
          <w:sz w:val="24"/>
        </w:rPr>
        <w:t xml:space="preserve"> March 2001</w:t>
      </w:r>
    </w:p>
    <w:p>
      <w:pPr>
        <w:pStyle w:val="Normal"/>
        <w:rPr>
          <w:b/>
          <w:sz w:val="24"/>
        </w:rPr>
      </w:pPr>
      <w:r>
        <w:rPr>
          <w:b/>
          <w:sz w:val="24"/>
        </w:rPr>
      </w:r>
    </w:p>
    <w:p>
      <w:pPr>
        <w:pStyle w:val="Normal"/>
        <w:rPr>
          <w:sz w:val="24"/>
        </w:rPr>
      </w:pPr>
      <w:r>
        <w:rPr>
          <w:b/>
          <w:sz w:val="24"/>
        </w:rPr>
        <w:t>To:</w:t>
        <w:tab/>
        <w:tab/>
      </w:r>
      <w:r>
        <w:rPr>
          <w:bCs/>
          <w:sz w:val="24"/>
        </w:rPr>
        <w:t>Weekly Report</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Heading1"/>
        <w:ind w:hanging="0" w:start="0"/>
        <w:jc w:val="both"/>
        <w:rPr>
          <w:rFonts w:ascii="Times New Roman" w:hAnsi="Times New Roman" w:cs="Times New Roman"/>
          <w:sz w:val="24"/>
        </w:rPr>
      </w:pPr>
      <w:r>
        <w:rPr>
          <w:rFonts w:cs="Times New Roman" w:ascii="Times New Roman" w:hAnsi="Times New Roman"/>
          <w:sz w:val="24"/>
        </w:rPr>
      </w:r>
    </w:p>
    <w:p>
      <w:pPr>
        <w:pStyle w:val="Normal"/>
        <w:autoSpaceDE w:val="false"/>
        <w:spacing w:lineRule="atLeast" w:line="240"/>
        <w:jc w:val="both"/>
        <w:rPr>
          <w:b/>
          <w:bCs/>
          <w:color w:val="000000"/>
          <w:sz w:val="24"/>
          <w:lang w:val="en-US"/>
        </w:rPr>
      </w:pPr>
      <w:r>
        <w:rPr>
          <w:b/>
          <w:bCs/>
          <w:color w:val="000000"/>
          <w:sz w:val="24"/>
          <w:lang w:val="en-US"/>
        </w:rPr>
        <w:t>UK</w:t>
      </w:r>
    </w:p>
    <w:p>
      <w:pPr>
        <w:pStyle w:val="Normal"/>
        <w:autoSpaceDE w:val="false"/>
        <w:spacing w:lineRule="atLeast" w:line="240"/>
        <w:ind w:firstLine="360" w:end="0"/>
        <w:jc w:val="both"/>
        <w:rPr>
          <w:color w:val="000000"/>
          <w:sz w:val="24"/>
          <w:lang w:val="en-US"/>
        </w:rPr>
      </w:pPr>
      <w:r>
        <w:rPr>
          <w:color w:val="000000"/>
          <w:sz w:val="24"/>
          <w:lang w:val="en-US"/>
        </w:rPr>
        <w:t xml:space="preserve">     </w:t>
      </w:r>
      <w:r>
        <w:rPr>
          <w:color w:val="000000"/>
          <w:sz w:val="24"/>
          <w:lang w:val="en-US"/>
        </w:rPr>
        <w:t>Climate Change Levy</w:t>
      </w:r>
    </w:p>
    <w:p>
      <w:pPr>
        <w:pStyle w:val="Normal"/>
        <w:keepLines/>
        <w:numPr>
          <w:ilvl w:val="0"/>
          <w:numId w:val="5"/>
        </w:numPr>
        <w:autoSpaceDE w:val="false"/>
        <w:spacing w:lineRule="atLeast" w:line="240"/>
        <w:jc w:val="both"/>
        <w:rPr>
          <w:color w:val="000000"/>
          <w:sz w:val="24"/>
          <w:lang w:val="en-US"/>
        </w:rPr>
      </w:pPr>
      <w:r>
        <w:rPr>
          <w:color w:val="000000"/>
          <w:sz w:val="24"/>
          <w:lang w:val="en-US"/>
        </w:rPr>
        <w:t>DTI confirmed that the Energy Trends tables would show CCL adjustments separately, allowing price tables to be calculated on the same basis as before, as supported by Enron.</w:t>
      </w:r>
    </w:p>
    <w:p>
      <w:pPr>
        <w:pStyle w:val="Normal"/>
        <w:autoSpaceDE w:val="false"/>
        <w:spacing w:lineRule="atLeast" w:line="240"/>
        <w:rPr>
          <w:rFonts w:ascii="Helv;Arial" w:hAnsi="Helv;Arial" w:cs="Helv;Arial"/>
          <w:color w:val="000000"/>
          <w:sz w:val="24"/>
          <w:lang w:val="en-US"/>
        </w:rPr>
      </w:pPr>
      <w:r>
        <w:rPr>
          <w:rFonts w:cs="Helv;Arial" w:ascii="Helv;Arial" w:hAnsi="Helv;Arial"/>
          <w:color w:val="000000"/>
          <w:sz w:val="24"/>
          <w:lang w:val="en-US"/>
        </w:rPr>
      </w:r>
    </w:p>
    <w:p>
      <w:pPr>
        <w:pStyle w:val="Heading4"/>
        <w:ind w:hanging="0" w:start="0"/>
        <w:rPr/>
      </w:pPr>
      <w:r>
        <w:rPr/>
        <w:t>EU</w:t>
      </w:r>
    </w:p>
    <w:p>
      <w:pPr>
        <w:pStyle w:val="Normal"/>
        <w:numPr>
          <w:ilvl w:val="0"/>
          <w:numId w:val="5"/>
        </w:numPr>
        <w:jc w:val="both"/>
        <w:rPr>
          <w:sz w:val="24"/>
          <w:lang w:val="en-US"/>
        </w:rPr>
      </w:pPr>
      <w:r>
        <w:rPr>
          <w:sz w:val="24"/>
          <w:lang w:val="en-US"/>
        </w:rPr>
        <w:t>We met officials from DG TREN in Brussels on 1 March to discuss in detail the liberalisation acceleration package and other current power and gas market issues.</w:t>
      </w:r>
    </w:p>
    <w:p>
      <w:pPr>
        <w:pStyle w:val="Normal"/>
        <w:jc w:val="both"/>
        <w:rPr>
          <w:sz w:val="24"/>
          <w:lang w:val="en-US"/>
        </w:rPr>
      </w:pPr>
      <w:r>
        <w:rPr>
          <w:sz w:val="24"/>
          <w:lang w:val="en-US"/>
        </w:rPr>
      </w:r>
    </w:p>
    <w:p>
      <w:pPr>
        <w:pStyle w:val="BodyText3"/>
        <w:numPr>
          <w:ilvl w:val="0"/>
          <w:numId w:val="5"/>
        </w:numPr>
        <w:autoSpaceDE w:val="false"/>
        <w:rPr>
          <w:lang w:val="en-US"/>
        </w:rPr>
      </w:pPr>
      <w:r>
        <w:rPr>
          <w:lang w:val="en-US"/>
        </w:rPr>
        <w:t>We learnt that DG TREN of the Commission has come under attack from German industry representatives and ministry officials in relation to certain key provisions in the planned electricity and gas liberalisation acceleration directive. At issue are requirements for appointment of an independent sectoral regulator, ex ante regulatory fixing or approval of TPA conditions (tariffs and other), and stricter unbundling. Meanwhile French demands are for a longer timetable for implementation. We are reinforcing our support for the current draft of the acceleration directive by visiting on 6 March the Cabinets of three other EU Commissioners, prior to anticipated adoption of a formal Commission proposal on 14 March.</w:t>
      </w:r>
    </w:p>
    <w:p>
      <w:pPr>
        <w:pStyle w:val="BodyText3"/>
        <w:autoSpaceDE w:val="false"/>
        <w:rPr>
          <w:lang w:val="en-US"/>
        </w:rPr>
      </w:pPr>
      <w:r>
        <w:rPr>
          <w:lang w:val="en-US"/>
        </w:rPr>
      </w:r>
    </w:p>
    <w:p>
      <w:pPr>
        <w:pStyle w:val="Normal"/>
        <w:numPr>
          <w:ilvl w:val="0"/>
          <w:numId w:val="5"/>
        </w:numPr>
        <w:autoSpaceDE w:val="false"/>
        <w:spacing w:lineRule="atLeast" w:line="240"/>
        <w:jc w:val="both"/>
        <w:rPr>
          <w:color w:val="000000"/>
          <w:sz w:val="24"/>
          <w:lang w:val="en-US"/>
        </w:rPr>
      </w:pPr>
      <w:r>
        <w:rPr>
          <w:color w:val="000000"/>
          <w:sz w:val="24"/>
          <w:lang w:val="en-US"/>
        </w:rPr>
        <w:t>We were asked by the head of the internal market unit of DG TREN for our view on appropriate remedies against the GFU, upon the prospective conclusion of the Commission's preliminary enquiry into joint selling arrangements for Norwegian produced gas. We are now preparing outline ideas as to where, when and how quantities of gas could be released to the market by the GFU parties for shipping by third party purchasers via Emden, Dunkirk or Zeebrugge (last direct or via Frigg and Bacton).</w:t>
      </w:r>
    </w:p>
    <w:p>
      <w:pPr>
        <w:pStyle w:val="Normal"/>
        <w:autoSpaceDE w:val="false"/>
        <w:spacing w:lineRule="atLeast" w:line="240"/>
        <w:jc w:val="both"/>
        <w:rPr>
          <w:color w:val="000000"/>
          <w:sz w:val="24"/>
          <w:lang w:val="en-US"/>
        </w:rPr>
      </w:pPr>
      <w:r>
        <w:rPr>
          <w:color w:val="000000"/>
          <w:sz w:val="24"/>
          <w:lang w:val="en-US"/>
        </w:rPr>
      </w:r>
    </w:p>
    <w:p>
      <w:pPr>
        <w:pStyle w:val="Normal"/>
        <w:numPr>
          <w:ilvl w:val="0"/>
          <w:numId w:val="5"/>
        </w:numPr>
        <w:jc w:val="both"/>
        <w:rPr>
          <w:sz w:val="24"/>
          <w:lang w:val="en-US"/>
        </w:rPr>
      </w:pPr>
      <w:r>
        <w:rPr>
          <w:color w:val="000000"/>
          <w:sz w:val="24"/>
          <w:lang w:val="en-US"/>
        </w:rPr>
        <w:t>We made our concerns known to the international relations unit of DG TREN, about potential restrictions in Germany on third party imports of power from Eastern Europe. The head of unit restated the DG's support in principle for reciprocity of transmission access and environmental standards. However, he recommended we make contact with two officials in DG Enlargement responsible for horizontal co-ordination, who will be dealing with any energy market rules agreed between the EU and accession countries, prior to their formally joining the Union.</w:t>
      </w:r>
    </w:p>
    <w:p>
      <w:pPr>
        <w:pStyle w:val="Normal"/>
        <w:jc w:val="both"/>
        <w:rPr>
          <w:sz w:val="24"/>
          <w:lang w:val="en-US"/>
        </w:rPr>
      </w:pPr>
      <w:r>
        <w:rPr>
          <w:sz w:val="24"/>
          <w:lang w:val="en-US"/>
        </w:rPr>
      </w:r>
    </w:p>
    <w:p>
      <w:pPr>
        <w:pStyle w:val="Heading1"/>
        <w:ind w:hanging="0" w:start="0"/>
        <w:rPr>
          <w:rFonts w:ascii="Times New Roman" w:hAnsi="Times New Roman" w:cs="Times New Roman"/>
          <w:sz w:val="24"/>
        </w:rPr>
      </w:pPr>
      <w:r>
        <w:rPr>
          <w:rFonts w:cs="Times New Roman" w:ascii="Times New Roman" w:hAnsi="Times New Roman"/>
          <w:sz w:val="24"/>
        </w:rPr>
        <w:t>Germany</w:t>
      </w:r>
    </w:p>
    <w:p>
      <w:pPr>
        <w:pStyle w:val="Normal"/>
        <w:numPr>
          <w:ilvl w:val="0"/>
          <w:numId w:val="5"/>
        </w:numPr>
        <w:jc w:val="both"/>
        <w:rPr>
          <w:sz w:val="24"/>
        </w:rPr>
      </w:pPr>
      <w:r>
        <w:rPr>
          <w:sz w:val="24"/>
        </w:rPr>
        <w:t>Gas Association Agreement negotiations: On 21</w:t>
      </w:r>
      <w:r>
        <w:rPr>
          <w:sz w:val="24"/>
          <w:vertAlign w:val="superscript"/>
        </w:rPr>
        <w:t>st</w:t>
      </w:r>
      <w:r>
        <w:rPr>
          <w:sz w:val="24"/>
        </w:rPr>
        <w:t xml:space="preserve"> February, the four associations (BDI, VIK, BGW and VKU) agreed to a common position on transparent access to the network, access to the storage capacity and congestion management. On 1</w:t>
      </w:r>
      <w:r>
        <w:rPr>
          <w:sz w:val="24"/>
          <w:vertAlign w:val="superscript"/>
        </w:rPr>
        <w:t>st</w:t>
      </w:r>
      <w:r>
        <w:rPr>
          <w:sz w:val="24"/>
        </w:rPr>
        <w:t xml:space="preserve"> March the Associations had planned to sign the revised VV-Gas, but VIK withdrew from this commitment and requested a delay of two weeks. It is now uncertain whether the Associations will come to agreement before the end of the month. Failing this, the Economics Minister has said that he will issue a network access decree – and the door will open to RTPA in Germany.</w:t>
      </w:r>
    </w:p>
    <w:p>
      <w:pPr>
        <w:pStyle w:val="Normal"/>
        <w:numPr>
          <w:ilvl w:val="0"/>
          <w:numId w:val="5"/>
        </w:numPr>
        <w:jc w:val="both"/>
        <w:rPr>
          <w:sz w:val="24"/>
        </w:rPr>
      </w:pPr>
      <w:r>
        <w:rPr>
          <w:sz w:val="24"/>
        </w:rPr>
        <w:t>MVV/ GVS gas transport case: On Friday, 23</w:t>
      </w:r>
      <w:r>
        <w:rPr>
          <w:sz w:val="24"/>
          <w:vertAlign w:val="superscript"/>
        </w:rPr>
        <w:t>rd</w:t>
      </w:r>
      <w:r>
        <w:rPr>
          <w:sz w:val="24"/>
        </w:rPr>
        <w:t xml:space="preserve"> February the contract to enable EWI (Energy Economics Institute in Cologne) to carry out the study (in order to determine the appropriate transport charges for our gas deliveries to Heidelberg and Tubingen) was supposed to be signed by the involved parties. However, despite repeated commitment to the Kartellamt and the other parties to support the process, GVS’ board refused to sign and the FCO claims that failing support from GVS it will not be able to prosecute this case. We expect the Kartellamt to formally close the case within the next week or two. Different legal actions are now being examined, including suing GVS for abuse of dominant position. </w:t>
      </w:r>
    </w:p>
    <w:p>
      <w:pPr>
        <w:pStyle w:val="Normal"/>
        <w:numPr>
          <w:ilvl w:val="0"/>
          <w:numId w:val="5"/>
        </w:numPr>
        <w:jc w:val="both"/>
        <w:rPr>
          <w:sz w:val="24"/>
        </w:rPr>
      </w:pPr>
      <w:r>
        <w:rPr>
          <w:sz w:val="24"/>
        </w:rPr>
        <w:t xml:space="preserve">We are currently examining ways to open up the Kontek and Baltic Cables to Germany in the wake of mergers that place control of the cables with Vattenfall and E.on, respectively. </w:t>
      </w:r>
    </w:p>
    <w:p>
      <w:pPr>
        <w:pStyle w:val="Normal"/>
        <w:numPr>
          <w:ilvl w:val="0"/>
          <w:numId w:val="5"/>
        </w:numPr>
        <w:jc w:val="both"/>
        <w:rPr>
          <w:sz w:val="24"/>
        </w:rPr>
      </w:pPr>
      <w:r>
        <w:rPr>
          <w:sz w:val="24"/>
        </w:rPr>
        <w:t xml:space="preserve">The Bundesrat has just released its position on the draft revised Energy Law and we have received a copy of this and will develop comments for the Bundesrat and the Government as part of our on-going efforts to incorporate RTPA and legal unbundling for both gas and electricity. </w:t>
      </w:r>
    </w:p>
    <w:p>
      <w:pPr>
        <w:pStyle w:val="Normal"/>
        <w:numPr>
          <w:ilvl w:val="0"/>
          <w:numId w:val="5"/>
        </w:numPr>
        <w:jc w:val="both"/>
        <w:rPr>
          <w:sz w:val="24"/>
        </w:rPr>
      </w:pPr>
      <w:r>
        <w:rPr>
          <w:sz w:val="24"/>
        </w:rPr>
        <w:t>A series of meetings were held in Poland to alert senior government officials and the head of PSE to potential problems arising from changes in the German Energy Law that may reduce or eliminate power exports from Poland to Germany.</w:t>
      </w:r>
    </w:p>
    <w:p>
      <w:pPr>
        <w:pStyle w:val="Normal"/>
        <w:jc w:val="both"/>
        <w:rPr>
          <w:b/>
          <w:bCs/>
          <w:sz w:val="24"/>
        </w:rPr>
      </w:pPr>
      <w:r>
        <w:rPr>
          <w:b/>
          <w:bCs/>
          <w:sz w:val="24"/>
        </w:rPr>
      </w:r>
    </w:p>
    <w:p>
      <w:pPr>
        <w:pStyle w:val="Heading5"/>
        <w:ind w:hanging="0" w:start="0"/>
        <w:rPr>
          <w:bCs/>
        </w:rPr>
      </w:pPr>
      <w:r>
        <w:rPr>
          <w:bCs/>
        </w:rPr>
        <w:t>Switzerland</w:t>
      </w:r>
    </w:p>
    <w:p>
      <w:pPr>
        <w:pStyle w:val="Normal"/>
        <w:numPr>
          <w:ilvl w:val="0"/>
          <w:numId w:val="5"/>
        </w:numPr>
        <w:jc w:val="both"/>
        <w:rPr>
          <w:b/>
          <w:bCs/>
          <w:sz w:val="24"/>
        </w:rPr>
      </w:pPr>
      <w:r>
        <w:rPr>
          <w:sz w:val="24"/>
        </w:rPr>
        <w:t>Walter Steinmann is the new head of the Federal Energy Office. He will take up the new position on 1</w:t>
      </w:r>
      <w:r>
        <w:rPr>
          <w:sz w:val="24"/>
          <w:vertAlign w:val="superscript"/>
        </w:rPr>
        <w:t>st</w:t>
      </w:r>
      <w:r>
        <w:rPr>
          <w:sz w:val="24"/>
        </w:rPr>
        <w:t xml:space="preserve"> July, 2001 and is replacing former bureau chief E. Kiener, who is retiring. </w:t>
      </w:r>
    </w:p>
    <w:p>
      <w:pPr>
        <w:pStyle w:val="Normal"/>
        <w:jc w:val="both"/>
        <w:rPr>
          <w:b/>
          <w:bCs/>
          <w:sz w:val="24"/>
        </w:rPr>
      </w:pPr>
      <w:r>
        <w:rPr>
          <w:b/>
          <w:bCs/>
          <w:sz w:val="24"/>
        </w:rPr>
      </w:r>
    </w:p>
    <w:p>
      <w:pPr>
        <w:pStyle w:val="Heading5"/>
        <w:ind w:hanging="0" w:start="0"/>
        <w:rPr>
          <w:bCs/>
        </w:rPr>
      </w:pPr>
      <w:r>
        <w:rPr>
          <w:bCs/>
        </w:rPr>
        <w:t>Austria</w:t>
      </w:r>
    </w:p>
    <w:p>
      <w:pPr>
        <w:pStyle w:val="Normal"/>
        <w:numPr>
          <w:ilvl w:val="0"/>
          <w:numId w:val="5"/>
        </w:numPr>
        <w:jc w:val="both"/>
        <w:rPr>
          <w:sz w:val="24"/>
        </w:rPr>
      </w:pPr>
      <w:r>
        <w:rPr>
          <w:sz w:val="24"/>
        </w:rPr>
        <w:t xml:space="preserve">Met with the new electricity regulator in Austria, Walter Boltz - to discuss problems with power transit and interconnector access, as well as plans for the balancing energy market. </w:t>
      </w:r>
    </w:p>
    <w:p>
      <w:pPr>
        <w:pStyle w:val="Normal"/>
        <w:numPr>
          <w:ilvl w:val="0"/>
          <w:numId w:val="5"/>
        </w:numPr>
        <w:jc w:val="both"/>
        <w:rPr>
          <w:sz w:val="24"/>
        </w:rPr>
      </w:pPr>
      <w:r>
        <w:rPr>
          <w:sz w:val="24"/>
        </w:rPr>
        <w:t>Met with the Economic Minister’s energy adviser – Herr Staudinger.  The Gas Act (Gaswirtschaftsgesetz – GWG) is going to be revised within the year. Provisions will be made to allow for regulation of the gas market.  We also advised Staudinger of the problems we were having in gaining access to the gas transport network and would shortly be filing a complaint with his office.</w:t>
      </w:r>
    </w:p>
    <w:p>
      <w:pPr>
        <w:pStyle w:val="Normal"/>
        <w:numPr>
          <w:ilvl w:val="0"/>
          <w:numId w:val="5"/>
        </w:numPr>
        <w:jc w:val="both"/>
        <w:rPr>
          <w:sz w:val="24"/>
        </w:rPr>
      </w:pPr>
      <w:r>
        <w:rPr>
          <w:sz w:val="24"/>
        </w:rPr>
        <w:t>OMV Transport request case: Following our second request of February 14</w:t>
      </w:r>
      <w:r>
        <w:rPr>
          <w:sz w:val="24"/>
          <w:vertAlign w:val="superscript"/>
        </w:rPr>
        <w:t>th</w:t>
      </w:r>
      <w:r>
        <w:rPr>
          <w:sz w:val="24"/>
        </w:rPr>
        <w:t xml:space="preserve"> to negotiate access to the OMV’s TAG pipeline, we have been advised – informally – that all transport rights have been assigned to TAG and we will be receiving a formal “rejection” letter by early next week. Following this we will submit an official complaint to the Economics Ministry and request that they resolve the matter. </w:t>
      </w:r>
    </w:p>
    <w:p>
      <w:pPr>
        <w:pStyle w:val="Normal"/>
        <w:numPr>
          <w:ilvl w:val="0"/>
          <w:numId w:val="5"/>
        </w:numPr>
        <w:autoSpaceDE w:val="false"/>
        <w:spacing w:lineRule="atLeast" w:line="240"/>
        <w:jc w:val="both"/>
        <w:rPr>
          <w:color w:val="000000"/>
          <w:sz w:val="24"/>
          <w:lang w:val="en-US"/>
        </w:rPr>
      </w:pPr>
      <w:r>
        <w:rPr>
          <w:sz w:val="24"/>
        </w:rPr>
        <w:t>Greenpeace Austria is making a serious effort to ban imports from the Czech Republic into Austria. During the third week of February, Greenpeace Austria sent a letter to all Austrian mayors asking them to give notice of any contracts with Austrian power suppliers, who continue to source their supplies from E.on. In addition, Greenpeace activists occupied the offices of E.on in Vienna. Petitions (Bürgerbegehren) in different municipalities with the same aim are being organised by Greenpeace in Bavaria (Germany), as well.</w:t>
      </w:r>
    </w:p>
    <w:p>
      <w:pPr>
        <w:pStyle w:val="Normal"/>
        <w:autoSpaceDE w:val="false"/>
        <w:spacing w:lineRule="atLeast" w:line="240"/>
        <w:rPr>
          <w:color w:val="000000"/>
          <w:sz w:val="24"/>
          <w:lang w:val="en-US"/>
        </w:rPr>
      </w:pPr>
      <w:r>
        <w:rPr>
          <w:color w:val="000000"/>
          <w:sz w:val="24"/>
          <w:lang w:val="en-US"/>
        </w:rPr>
      </w:r>
    </w:p>
    <w:p>
      <w:pPr>
        <w:pStyle w:val="Heading3"/>
        <w:ind w:hanging="0" w:start="0"/>
        <w:jc w:val="both"/>
        <w:rPr>
          <w:bCs/>
        </w:rPr>
      </w:pPr>
      <w:r>
        <w:rPr>
          <w:bCs/>
        </w:rPr>
        <w:t>Spain</w:t>
      </w:r>
    </w:p>
    <w:p>
      <w:pPr>
        <w:pStyle w:val="Normal"/>
        <w:numPr>
          <w:ilvl w:val="0"/>
          <w:numId w:val="4"/>
        </w:numPr>
        <w:autoSpaceDE w:val="false"/>
        <w:spacing w:lineRule="atLeast" w:line="240"/>
        <w:jc w:val="both"/>
        <w:rPr>
          <w:color w:val="000000"/>
          <w:sz w:val="24"/>
          <w:lang w:val="en-US"/>
        </w:rPr>
      </w:pPr>
      <w:r>
        <w:rPr>
          <w:color w:val="000000"/>
          <w:sz w:val="24"/>
          <w:lang w:val="en-US"/>
        </w:rPr>
        <w:t>We met the Head of Rato's (Vice prime minister and minister of economy) Cabinet (Miguel Angel Sanchez) and Energy advisor (Jorge Sanz) to discuss Enagas capacity issues. On the contents, very much a replica of the messages we sent on previous meetings we held with the DGPEyE and the head of the cabinet of the Secretary of State for energy. Mr. Sanchez gave us reassurances that the Ministry is very concerned with the Tx capacity problems raised by Enagas, and that the Director General of Energy is currently working to put some order and find a solution. We expressed the sense of urgency for solving the problem, and our worries about the lack of information on how the discussions held by the DG and Enagas are progressing.</w:t>
      </w:r>
    </w:p>
    <w:p>
      <w:pPr>
        <w:pStyle w:val="Normal"/>
        <w:numPr>
          <w:ilvl w:val="0"/>
          <w:numId w:val="4"/>
        </w:numPr>
        <w:autoSpaceDE w:val="false"/>
        <w:spacing w:lineRule="atLeast" w:line="240"/>
        <w:jc w:val="both"/>
        <w:rPr>
          <w:color w:val="000000"/>
          <w:sz w:val="24"/>
          <w:lang w:val="en-US"/>
        </w:rPr>
      </w:pPr>
      <w:r>
        <w:rPr>
          <w:color w:val="000000"/>
          <w:sz w:val="24"/>
          <w:lang w:val="en-US"/>
        </w:rPr>
        <w:t>We have arranged a meeting between Mr. Rato and Ken Lay on March 8 to discuss general energy issues and Enagas capacity problems on Arcos.</w:t>
      </w:r>
    </w:p>
    <w:p>
      <w:pPr>
        <w:pStyle w:val="Normal"/>
        <w:autoSpaceDE w:val="false"/>
        <w:spacing w:lineRule="atLeast" w:line="240"/>
        <w:jc w:val="both"/>
        <w:rPr>
          <w:color w:val="000000"/>
          <w:sz w:val="24"/>
          <w:lang w:val="en-US"/>
        </w:rPr>
      </w:pPr>
      <w:r>
        <w:rPr>
          <w:color w:val="000000"/>
          <w:sz w:val="24"/>
          <w:lang w:val="en-US"/>
        </w:rPr>
      </w:r>
    </w:p>
    <w:p>
      <w:pPr>
        <w:pStyle w:val="Heading3"/>
        <w:ind w:hanging="0" w:start="0"/>
        <w:rPr/>
      </w:pPr>
      <w:r>
        <w:rPr/>
        <w:t>Greece</w:t>
      </w:r>
    </w:p>
    <w:p>
      <w:pPr>
        <w:pStyle w:val="Normal"/>
        <w:numPr>
          <w:ilvl w:val="0"/>
          <w:numId w:val="3"/>
        </w:numPr>
        <w:autoSpaceDE w:val="false"/>
        <w:spacing w:lineRule="atLeast" w:line="240"/>
        <w:jc w:val="both"/>
        <w:rPr>
          <w:color w:val="000000"/>
          <w:sz w:val="24"/>
          <w:lang w:val="en-US"/>
        </w:rPr>
      </w:pPr>
      <w:r>
        <w:rPr>
          <w:color w:val="000000"/>
          <w:sz w:val="24"/>
          <w:lang w:val="en-US"/>
        </w:rPr>
        <w:t>An application for an electricity supply license was submitted in Enron's name on 19 February, after our Greek partner refused to agree final terms to the JV agreement in time for a joint application to go ahead.   RAE (regulatory authority) has confirmed receipt of our application and our letter challenging the application requirements, which they have not rejected out of hand and are actively considering.  RAE is understood to be giving precedence to processing applications for supply, over generation.</w:t>
      </w:r>
    </w:p>
    <w:p>
      <w:pPr>
        <w:pStyle w:val="Normal"/>
        <w:numPr>
          <w:ilvl w:val="0"/>
          <w:numId w:val="3"/>
        </w:numPr>
        <w:autoSpaceDE w:val="false"/>
        <w:spacing w:lineRule="atLeast" w:line="240"/>
        <w:jc w:val="both"/>
        <w:rPr>
          <w:color w:val="000000"/>
          <w:sz w:val="24"/>
          <w:lang w:val="en-US"/>
        </w:rPr>
      </w:pPr>
      <w:r>
        <w:rPr>
          <w:color w:val="000000"/>
          <w:sz w:val="24"/>
          <w:lang w:val="en-US"/>
        </w:rPr>
        <w:t>There is to be a conference on 15 March on the electricity market opening.  We plan to meet with RAE also at this time to discuss our controversial interpretation of the law.</w:t>
      </w:r>
    </w:p>
    <w:p>
      <w:pPr>
        <w:pStyle w:val="Heading3"/>
        <w:autoSpaceDE w:val="false"/>
        <w:ind w:hanging="0" w:start="0"/>
        <w:rPr>
          <w:bCs/>
          <w:color w:val="000000"/>
          <w:sz w:val="24"/>
          <w:lang w:val="en-US"/>
        </w:rPr>
      </w:pPr>
      <w:r>
        <w:rPr>
          <w:bCs/>
          <w:color w:val="000000"/>
          <w:sz w:val="24"/>
          <w:lang w:val="en-US"/>
        </w:rPr>
      </w:r>
    </w:p>
    <w:p>
      <w:pPr>
        <w:pStyle w:val="Heading4"/>
        <w:autoSpaceDE w:val="false"/>
        <w:ind w:hanging="0" w:start="0"/>
        <w:rPr>
          <w:bCs/>
          <w:lang w:val="en-US"/>
        </w:rPr>
      </w:pPr>
      <w:r>
        <w:rPr>
          <w:bCs/>
          <w:lang w:val="en-US"/>
        </w:rPr>
        <w:t>Turkey</w:t>
      </w:r>
    </w:p>
    <w:p>
      <w:pPr>
        <w:pStyle w:val="Normal"/>
        <w:numPr>
          <w:ilvl w:val="0"/>
          <w:numId w:val="6"/>
        </w:numPr>
        <w:autoSpaceDE w:val="false"/>
        <w:spacing w:lineRule="atLeast" w:line="240"/>
        <w:jc w:val="both"/>
        <w:rPr>
          <w:color w:val="000000"/>
          <w:sz w:val="24"/>
          <w:lang w:val="en-US"/>
        </w:rPr>
      </w:pPr>
      <w:r>
        <w:rPr>
          <w:color w:val="000000"/>
          <w:sz w:val="24"/>
          <w:lang w:val="en-US"/>
        </w:rPr>
        <w:t>Turkey passed its Electricity Markets Law in a rush, on 20 Feb, on the arrival of the IMF, to demonstrate progress in energy reform.  We have an unofficial translation.  On first reading it appears very general, other than to establish an Electricity Market Organisation Authority and to provide the structure for the TEAS breakup.  Most detail is devolved to secondary legislation.</w:t>
      </w:r>
    </w:p>
    <w:p>
      <w:pPr>
        <w:pStyle w:val="Normal"/>
        <w:rPr>
          <w:color w:val="000000"/>
          <w:sz w:val="24"/>
          <w:lang w:val="en-US"/>
        </w:rPr>
      </w:pPr>
      <w:r>
        <w:rPr>
          <w:color w:val="000000"/>
          <w:sz w:val="24"/>
          <w:lang w:val="en-US"/>
        </w:rPr>
      </w:r>
    </w:p>
    <w:p>
      <w:pPr>
        <w:pStyle w:val="Heading3"/>
        <w:autoSpaceDE w:val="false"/>
        <w:ind w:hanging="0" w:start="0"/>
        <w:rPr>
          <w:bCs/>
          <w:lang w:val="en-US"/>
        </w:rPr>
      </w:pPr>
      <w:r>
        <w:rPr>
          <w:bCs/>
          <w:lang w:val="en-US"/>
        </w:rPr>
        <w:t>Czech</w:t>
      </w:r>
    </w:p>
    <w:p>
      <w:pPr>
        <w:pStyle w:val="Normal"/>
        <w:numPr>
          <w:ilvl w:val="0"/>
          <w:numId w:val="2"/>
        </w:numPr>
        <w:autoSpaceDE w:val="false"/>
        <w:spacing w:lineRule="atLeast" w:line="240"/>
        <w:jc w:val="both"/>
        <w:rPr>
          <w:color w:val="000000"/>
          <w:sz w:val="24"/>
          <w:lang w:val="en-US"/>
        </w:rPr>
      </w:pPr>
      <w:r>
        <w:rPr>
          <w:color w:val="000000"/>
          <w:sz w:val="24"/>
          <w:lang w:val="en-US"/>
        </w:rPr>
        <w:t>We met the head of the Energy Section at the Ministry of Industry (Poucek) and the Deputy Secretary at the Ministry of Finance (Mladek) on 16 Feb to discuss the draft changes to the German Energy Law, which grants to the German Economics Minister greater discretion to block energy imports from non-EU countries.  We also copied relevant information to the President of CEZ, but were unable to meet with him.</w:t>
      </w:r>
    </w:p>
    <w:p>
      <w:pPr>
        <w:pStyle w:val="Normal"/>
        <w:autoSpaceDE w:val="false"/>
        <w:spacing w:lineRule="atLeast" w:line="240"/>
        <w:jc w:val="both"/>
        <w:rPr>
          <w:rFonts w:ascii="Helv;Arial" w:hAnsi="Helv;Arial" w:cs="Helv;Arial"/>
          <w:color w:val="000000"/>
          <w:sz w:val="24"/>
          <w:lang w:val="en-US"/>
        </w:rPr>
      </w:pPr>
      <w:r>
        <w:rPr>
          <w:rFonts w:cs="Helv;Arial" w:ascii="Helv;Arial" w:hAnsi="Helv;Arial"/>
          <w:color w:val="000000"/>
          <w:sz w:val="24"/>
          <w:lang w:val="en-US"/>
        </w:rPr>
      </w:r>
    </w:p>
    <w:p>
      <w:pPr>
        <w:pStyle w:val="Heading4"/>
        <w:ind w:hanging="0" w:start="0"/>
        <w:rPr/>
      </w:pPr>
      <w:r>
        <w:rPr/>
        <w:t>Romania</w:t>
      </w:r>
    </w:p>
    <w:p>
      <w:pPr>
        <w:pStyle w:val="Normal"/>
        <w:numPr>
          <w:ilvl w:val="0"/>
          <w:numId w:val="2"/>
        </w:numPr>
        <w:autoSpaceDE w:val="false"/>
        <w:spacing w:lineRule="atLeast" w:line="240"/>
        <w:jc w:val="both"/>
        <w:rPr>
          <w:color w:val="000000"/>
          <w:sz w:val="24"/>
          <w:lang w:val="en-US"/>
        </w:rPr>
      </w:pPr>
      <w:r>
        <w:rPr>
          <w:color w:val="000000"/>
          <w:sz w:val="24"/>
          <w:lang w:val="en-US"/>
        </w:rPr>
        <w:t>New foreign minister Geoana (former Romanian Ambassador to US, and known to Enron) is in London on 7 March.  We plan to attend a general session.</w:t>
      </w:r>
    </w:p>
    <w:p>
      <w:pPr>
        <w:pStyle w:val="Normal"/>
        <w:spacing w:lineRule="atLeast" w:line="240"/>
        <w:jc w:val="both"/>
        <w:rPr>
          <w:rFonts w:ascii="Helv;Arial" w:hAnsi="Helv;Arial" w:cs="Helv;Arial"/>
          <w:color w:val="000000"/>
          <w:sz w:val="24"/>
          <w:lang w:val="en-AU"/>
        </w:rPr>
      </w:pPr>
      <w:r>
        <w:rPr>
          <w:rFonts w:cs="Helv;Arial" w:ascii="Helv;Arial" w:hAnsi="Helv;Arial"/>
          <w:color w:val="000000"/>
          <w:sz w:val="24"/>
          <w:lang w:val="en-AU"/>
        </w:rPr>
      </w:r>
    </w:p>
    <w:p>
      <w:pPr>
        <w:pStyle w:val="Heading3"/>
        <w:ind w:hanging="0" w:start="0"/>
        <w:rPr/>
      </w:pPr>
      <w:r>
        <w:rPr/>
        <w:t>Poland</w:t>
      </w:r>
    </w:p>
    <w:p>
      <w:pPr>
        <w:pStyle w:val="Normal"/>
        <w:numPr>
          <w:ilvl w:val="0"/>
          <w:numId w:val="2"/>
        </w:numPr>
        <w:autoSpaceDE w:val="false"/>
        <w:spacing w:lineRule="atLeast" w:line="240"/>
        <w:jc w:val="both"/>
        <w:rPr>
          <w:color w:val="000000"/>
          <w:sz w:val="24"/>
          <w:lang w:val="en-US"/>
        </w:rPr>
      </w:pPr>
      <w:r>
        <w:rPr>
          <w:color w:val="000000"/>
          <w:sz w:val="24"/>
          <w:lang w:val="en-US"/>
        </w:rPr>
        <w:t>We met with new UK Ambassador to Poland and his Consul General on 21 Feb.</w:t>
      </w:r>
    </w:p>
    <w:p>
      <w:pPr>
        <w:pStyle w:val="Normal"/>
        <w:numPr>
          <w:ilvl w:val="0"/>
          <w:numId w:val="2"/>
        </w:numPr>
        <w:autoSpaceDE w:val="false"/>
        <w:spacing w:lineRule="atLeast" w:line="240"/>
        <w:jc w:val="both"/>
        <w:rPr>
          <w:color w:val="000000"/>
          <w:sz w:val="24"/>
          <w:lang w:val="en-US"/>
        </w:rPr>
      </w:pPr>
      <w:r>
        <w:rPr>
          <w:color w:val="000000"/>
          <w:sz w:val="24"/>
          <w:lang w:val="en-US"/>
        </w:rPr>
        <w:t>We met with Deputy Undersecretary to the European Integration Committee (Pietras), a member of parliament who is chairman of the Committee of the Economy (Kaniewski) and the President of PSE (Zmijewski) and two other representatives to raise awareness of the draft changes to the German Energy Law (see also Czech above).</w:t>
      </w:r>
    </w:p>
    <w:p>
      <w:pPr>
        <w:pStyle w:val="Normal"/>
        <w:spacing w:lineRule="atLeast" w:line="240"/>
        <w:rPr>
          <w:rFonts w:ascii="Helv;Arial" w:hAnsi="Helv;Arial" w:cs="Helv;Arial"/>
          <w:color w:val="000000"/>
          <w:sz w:val="24"/>
          <w:lang w:val="en-AU"/>
        </w:rPr>
      </w:pPr>
      <w:r>
        <w:rPr>
          <w:rFonts w:cs="Helv;Arial" w:ascii="Helv;Arial" w:hAnsi="Helv;Arial"/>
          <w:color w:val="000000"/>
          <w:sz w:val="24"/>
          <w:lang w:val="en-AU"/>
        </w:rPr>
      </w:r>
    </w:p>
    <w:p>
      <w:pPr>
        <w:pStyle w:val="Normal"/>
        <w:spacing w:lineRule="atLeast" w:line="240"/>
        <w:jc w:val="both"/>
        <w:rPr>
          <w:rFonts w:ascii="Helv;Arial" w:hAnsi="Helv;Arial" w:cs="Helv;Arial"/>
          <w:b/>
          <w:color w:val="000000"/>
          <w:sz w:val="24"/>
          <w:lang w:val="en-AU"/>
        </w:rPr>
      </w:pPr>
      <w:r>
        <w:rPr>
          <w:rFonts w:cs="Helv;Arial" w:ascii="Helv;Arial" w:hAnsi="Helv;Arial"/>
          <w:b/>
          <w:color w:val="000000"/>
          <w:sz w:val="24"/>
          <w:lang w:val="en-AU"/>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Charmaine McGill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Oliver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Bob Manasse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Paul Turner</w:t>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autoSpaceDE w:val="false"/>
      <w:spacing w:lineRule="atLeast" w:line="240"/>
      <w:outlineLvl w:val="6"/>
    </w:pPr>
    <w:rPr>
      <w:b/>
      <w:bCs/>
      <w:color w:val="000000"/>
      <w:sz w:val="24"/>
      <w:u w:val="single"/>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Times New Roman" w:hAnsi="Times New Roman" w:eastAsia="Times New Roman" w:cs="Times New Roman"/>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FootnoteText">
    <w:name w:val="footnote text"/>
    <w:basedOn w:val="Normal"/>
    <w:pPr/>
    <w:rPr>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2001-03-01T12:24:00Z</dcterms:created>
  <dc:creator>SEvans2</dc:creator>
  <dc:description/>
  <dc:language>en-CA</dc:language>
  <cp:lastModifiedBy>bashcrof</cp:lastModifiedBy>
  <cp:lastPrinted>2001-03-02T13:17:00Z</cp:lastPrinted>
  <dcterms:modified xsi:type="dcterms:W3CDTF">2001-03-06T11:27:00Z</dcterms:modified>
  <cp:revision>8</cp:revision>
  <dc:subject/>
  <dc:title>Weekly Report </dc:title>
</cp:coreProperties>
</file>