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tbl>
      <w:tblPr>
        <w:tblW w:w="9288" w:type="dxa"/>
        <w:jc w:val="start"/>
        <w:tblInd w:w="0" w:type="dxa"/>
        <w:tblLayout w:type="fixed"/>
        <w:tblCellMar>
          <w:top w:w="0" w:type="dxa"/>
          <w:start w:w="108" w:type="dxa"/>
          <w:bottom w:w="0" w:type="dxa"/>
          <w:end w:w="108" w:type="dxa"/>
        </w:tblCellMar>
      </w:tblPr>
      <w:tblGrid>
        <w:gridCol w:w="5238"/>
        <w:gridCol w:w="2117"/>
        <w:gridCol w:w="1933"/>
      </w:tblGrid>
      <w:tr>
        <w:trPr>
          <w:trHeight w:val="1112" w:hRule="atLeast"/>
        </w:trPr>
        <w:tc>
          <w:tcPr>
            <w:tcW w:w="5238" w:type="dxa"/>
            <w:tcBorders/>
          </w:tcPr>
          <w:p>
            <w:pPr>
              <w:pStyle w:val="Normal"/>
              <w:ind w:firstLine="450" w:end="0"/>
              <w:rPr/>
            </w:pPr>
            <w:r>
              <w:rPr/>
              <w:drawing>
                <wp:inline distT="0" distB="0" distL="0" distR="0">
                  <wp:extent cx="1595120" cy="746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18" r="-8" b="-18"/>
                          <a:stretch>
                            <a:fillRect/>
                          </a:stretch>
                        </pic:blipFill>
                        <pic:spPr bwMode="auto">
                          <a:xfrm>
                            <a:off x="0" y="0"/>
                            <a:ext cx="1595120" cy="746760"/>
                          </a:xfrm>
                          <a:prstGeom prst="rect">
                            <a:avLst/>
                          </a:prstGeom>
                          <a:noFill/>
                        </pic:spPr>
                      </pic:pic>
                    </a:graphicData>
                  </a:graphic>
                </wp:inline>
              </w:drawing>
            </w:r>
          </w:p>
        </w:tc>
        <w:tc>
          <w:tcPr>
            <w:tcW w:w="2117" w:type="dxa"/>
            <w:tcBorders/>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McFarlane Tower</w:t>
            </w:r>
          </w:p>
          <w:p>
            <w:pPr>
              <w:pStyle w:val="Normal"/>
              <w:rPr>
                <w:rFonts w:ascii="Arial" w:hAnsi="Arial" w:cs="Arial"/>
                <w:sz w:val="16"/>
              </w:rPr>
            </w:pPr>
            <w:r>
              <w:rPr>
                <w:rFonts w:cs="Arial" w:ascii="Arial" w:hAnsi="Arial"/>
                <w:sz w:val="16"/>
              </w:rPr>
              <w:t>1800, 700 - 4 Ave SW</w:t>
            </w:r>
          </w:p>
          <w:p>
            <w:pPr>
              <w:pStyle w:val="Normal"/>
              <w:rPr>
                <w:rFonts w:ascii="Arial" w:hAnsi="Arial" w:cs="Arial"/>
                <w:sz w:val="16"/>
              </w:rPr>
            </w:pPr>
            <w:r>
              <w:rPr>
                <w:rFonts w:cs="Arial" w:ascii="Arial" w:hAnsi="Arial"/>
                <w:sz w:val="16"/>
              </w:rPr>
              <w:t>Calgary, Alta T2P 3J4</w:t>
            </w:r>
          </w:p>
        </w:tc>
        <w:tc>
          <w:tcPr>
            <w:tcW w:w="1933" w:type="dxa"/>
            <w:tcBorders/>
          </w:tcPr>
          <w:p>
            <w:pPr>
              <w:pStyle w:val="Normal"/>
              <w:snapToGrid w:val="false"/>
              <w:ind w:hanging="108" w:end="0"/>
              <w:rPr>
                <w:rFonts w:ascii="Arial" w:hAnsi="Arial" w:cs="Arial"/>
                <w:sz w:val="16"/>
              </w:rPr>
            </w:pPr>
            <w:r>
              <w:rPr>
                <w:rFonts w:cs="Arial" w:ascii="Arial" w:hAnsi="Arial"/>
                <w:sz w:val="16"/>
              </w:rPr>
            </w:r>
          </w:p>
          <w:p>
            <w:pPr>
              <w:pStyle w:val="Normal"/>
              <w:ind w:hanging="108" w:end="0"/>
              <w:rPr>
                <w:rFonts w:ascii="Arial" w:hAnsi="Arial" w:cs="Arial"/>
                <w:sz w:val="16"/>
              </w:rPr>
            </w:pPr>
            <w:r>
              <w:rPr>
                <w:rFonts w:cs="Arial" w:ascii="Arial" w:hAnsi="Arial"/>
                <w:sz w:val="16"/>
              </w:rPr>
              <w:t>Bus: (403) 543 0380</w:t>
            </w:r>
          </w:p>
          <w:p>
            <w:pPr>
              <w:pStyle w:val="Normal"/>
              <w:ind w:hanging="108" w:end="0"/>
              <w:rPr>
                <w:rFonts w:ascii="Arial" w:hAnsi="Arial" w:cs="Arial"/>
                <w:sz w:val="16"/>
              </w:rPr>
            </w:pPr>
            <w:r>
              <w:rPr>
                <w:rFonts w:cs="Arial" w:ascii="Arial" w:hAnsi="Arial"/>
                <w:sz w:val="16"/>
              </w:rPr>
              <w:t>Fax: (403) 543 0388</w:t>
            </w:r>
          </w:p>
          <w:p>
            <w:pPr>
              <w:pStyle w:val="Normal"/>
              <w:ind w:hanging="108" w:end="0"/>
              <w:rPr>
                <w:rFonts w:ascii="Arial" w:hAnsi="Arial" w:cs="Arial"/>
                <w:sz w:val="16"/>
              </w:rPr>
            </w:pPr>
            <w:r>
              <w:rPr>
                <w:rFonts w:cs="Arial" w:ascii="Arial" w:hAnsi="Arial"/>
                <w:sz w:val="16"/>
              </w:rPr>
            </w:r>
          </w:p>
          <w:p>
            <w:pPr>
              <w:pStyle w:val="Normal"/>
              <w:ind w:hanging="108" w:end="0"/>
              <w:rPr>
                <w:rFonts w:ascii="Arial" w:hAnsi="Arial" w:cs="Arial"/>
                <w:sz w:val="16"/>
              </w:rPr>
            </w:pPr>
            <w:r>
              <w:rPr>
                <w:rFonts w:cs="Arial" w:ascii="Arial" w:hAnsi="Arial"/>
                <w:sz w:val="16"/>
              </w:rPr>
              <w:t>Website:</w:t>
            </w:r>
          </w:p>
          <w:p>
            <w:pPr>
              <w:pStyle w:val="Normal"/>
              <w:ind w:hanging="108" w:end="0"/>
              <w:rPr>
                <w:rFonts w:ascii="Arial" w:hAnsi="Arial" w:cs="Arial"/>
                <w:sz w:val="16"/>
              </w:rPr>
            </w:pPr>
            <w:r>
              <w:rPr>
                <w:rFonts w:cs="Arial" w:ascii="Arial" w:hAnsi="Arial"/>
                <w:sz w:val="16"/>
              </w:rPr>
              <w:t>www.powerpool.ab.ca</w:t>
            </w:r>
          </w:p>
        </w:tc>
      </w:tr>
    </w:tbl>
    <w:p>
      <w:pPr>
        <w:pStyle w:val="Normal"/>
        <w:ind w:start="450" w:end="0"/>
        <w:rPr>
          <w:sz w:val="24"/>
        </w:rPr>
      </w:pPr>
      <w:r>
        <w:rPr>
          <w:sz w:val="24"/>
        </w:rPr>
      </w:r>
    </w:p>
    <w:p>
      <w:pPr>
        <w:pStyle w:val="Normal"/>
        <w:ind w:start="450" w:end="0"/>
        <w:rPr>
          <w:sz w:val="24"/>
        </w:rPr>
      </w:pPr>
      <w:r>
        <w:rPr>
          <w:sz w:val="24"/>
        </w:rPr>
      </w:r>
    </w:p>
    <w:p>
      <w:pPr>
        <w:pStyle w:val="Normal"/>
        <w:ind w:start="450" w:end="0"/>
        <w:rPr>
          <w:sz w:val="24"/>
        </w:rPr>
      </w:pPr>
      <w:r>
        <w:rPr>
          <w:sz w:val="24"/>
        </w:rPr>
        <w:t>January 28, 2002</w:t>
      </w:r>
    </w:p>
    <w:p>
      <w:pPr>
        <w:pStyle w:val="Normal"/>
        <w:ind w:start="450" w:end="0"/>
        <w:rPr>
          <w:sz w:val="24"/>
        </w:rPr>
      </w:pPr>
      <w:r>
        <w:rPr>
          <w:sz w:val="24"/>
        </w:rPr>
      </w:r>
    </w:p>
    <w:p>
      <w:pPr>
        <w:pStyle w:val="Normal"/>
        <w:ind w:start="450" w:end="0"/>
        <w:rPr>
          <w:sz w:val="24"/>
        </w:rPr>
      </w:pPr>
      <w:r>
        <w:rPr>
          <w:sz w:val="24"/>
        </w:rPr>
        <w:t>To: All Participants</w:t>
      </w:r>
    </w:p>
    <w:p>
      <w:pPr>
        <w:pStyle w:val="Normal"/>
        <w:ind w:start="450" w:end="0"/>
        <w:rPr>
          <w:sz w:val="24"/>
        </w:rPr>
      </w:pPr>
      <w:r>
        <w:rPr>
          <w:sz w:val="24"/>
        </w:rPr>
      </w:r>
    </w:p>
    <w:p>
      <w:pPr>
        <w:pStyle w:val="Heading2"/>
        <w:rPr>
          <w:sz w:val="24"/>
          <w:u w:val="single"/>
        </w:rPr>
      </w:pPr>
      <w:r>
        <w:rPr>
          <w:sz w:val="24"/>
          <w:u w:val="single"/>
        </w:rPr>
        <w:t>Re:</w:t>
        <w:tab/>
        <w:t>Proposed Pool Code Changes</w:t>
        <w:tab/>
        <w:tab/>
      </w:r>
    </w:p>
    <w:p>
      <w:pPr>
        <w:pStyle w:val="Normal"/>
        <w:ind w:start="450" w:end="0"/>
        <w:rPr>
          <w:sz w:val="24"/>
          <w:u w:val="single"/>
        </w:rPr>
      </w:pPr>
      <w:r>
        <w:rPr>
          <w:sz w:val="24"/>
          <w:u w:val="single"/>
        </w:rPr>
      </w:r>
    </w:p>
    <w:p>
      <w:pPr>
        <w:pStyle w:val="BodyTextIndent"/>
        <w:rPr/>
      </w:pPr>
      <w:r>
        <w:rPr/>
        <w:t>The Power Pool regularly seeks feedback on Pool Code changes and additions that are being considered for recommendation to the Power Pool Council.  I have attached for your consideration six Pool Operating Procedure (POP) revisions as well as one Technical Standard revision.</w:t>
      </w:r>
    </w:p>
    <w:p>
      <w:pPr>
        <w:pStyle w:val="Normal"/>
        <w:ind w:start="450" w:end="0"/>
        <w:jc w:val="both"/>
        <w:rPr>
          <w:sz w:val="24"/>
        </w:rPr>
      </w:pPr>
      <w:r>
        <w:rPr>
          <w:sz w:val="24"/>
        </w:rPr>
      </w:r>
    </w:p>
    <w:p>
      <w:pPr>
        <w:pStyle w:val="Normal"/>
        <w:ind w:start="450" w:end="0"/>
        <w:jc w:val="both"/>
        <w:rPr>
          <w:sz w:val="24"/>
        </w:rPr>
      </w:pPr>
      <w:r>
        <w:rPr>
          <w:sz w:val="24"/>
        </w:rPr>
        <w:t>Proposed Operating Procedure Revisions</w:t>
      </w:r>
    </w:p>
    <w:p>
      <w:pPr>
        <w:pStyle w:val="BodyTextIndent"/>
        <w:rPr>
          <w:sz w:val="24"/>
        </w:rPr>
      </w:pPr>
      <w:r>
        <w:rPr>
          <w:sz w:val="24"/>
        </w:rPr>
      </w:r>
    </w:p>
    <w:p>
      <w:pPr>
        <w:pStyle w:val="BodyTextIndent"/>
        <w:rPr/>
      </w:pPr>
      <w:r>
        <w:rPr/>
        <w:t>POP 101 – Dispatching the Energy Market Merit Order, which are procedures for the System Controller to follow when dispatching the energy market merit order.  These procedural changes are required as a result of the Interchange Pool Rule Changes that took effect on December 21, 2001.  This procedure was previously approved for interim use.  This procedure will be of interest to Pool Participants who have bids and offers in the energy market merit order.</w:t>
      </w:r>
    </w:p>
    <w:p>
      <w:pPr>
        <w:pStyle w:val="BodyTextIndent"/>
        <w:rPr/>
      </w:pPr>
      <w:r>
        <w:rPr/>
      </w:r>
    </w:p>
    <w:p>
      <w:pPr>
        <w:pStyle w:val="BodyTextIndent"/>
        <w:rPr/>
      </w:pPr>
      <w:r>
        <w:rPr/>
        <w:t>POP 301 – Alberta/BC Interconnection Scheduling, which are procedures for the System Controller to follow when scheduling interchange on the BC Hydro interconnection.  This procedural change is required as a result of the Interchange Pool Rule Changes that took effect on December 21, 2001.  This procedure was previously approved for interim use.  This procedure will be of interest to Pool Participants who schedule energy on the BC interconnection.</w:t>
      </w:r>
    </w:p>
    <w:p>
      <w:pPr>
        <w:pStyle w:val="BodyTextIndent"/>
        <w:rPr/>
      </w:pPr>
      <w:r>
        <w:rPr/>
      </w:r>
    </w:p>
    <w:p>
      <w:pPr>
        <w:pStyle w:val="BodyTextIndent"/>
        <w:rPr/>
      </w:pPr>
      <w:r>
        <w:rPr/>
        <w:t>POP 302 – Alberta/Saskatchewan Interconnection Scheduling, which are procedures for the System Controller to follow when scheduling interchange on the SaskPower interconnection.  This procedural change is required as a result of the Interchange Pool Rule Changes that took effect on December 21, 2001.  This procedure was previously approved for interim use.  This procedure will be of interest to Pool Participants who schedule energy on the Saskatchewan interconnection.</w:t>
      </w:r>
    </w:p>
    <w:p>
      <w:pPr>
        <w:pStyle w:val="BodyTextIndent"/>
        <w:rPr/>
      </w:pPr>
      <w:r>
        <w:rPr/>
      </w:r>
    </w:p>
    <w:p>
      <w:pPr>
        <w:pStyle w:val="BodyTextIndent"/>
        <w:rPr/>
      </w:pPr>
      <w:r>
        <w:rPr/>
        <w:t>POP 505 – Fort McMurray Area Transmission Constraints, which are procedures for the System Controller to follow to maintain security in the Ft. McMurray Area.  This procedural change is required as a result of security limit changes in the Area.  This procedure will be of general interest to Pool Participants in the Fort McMurray Area.</w:t>
      </w:r>
    </w:p>
    <w:p>
      <w:pPr>
        <w:pStyle w:val="BodyTextIndent"/>
        <w:rPr/>
      </w:pPr>
      <w:r>
        <w:rPr/>
      </w:r>
    </w:p>
    <w:p>
      <w:pPr>
        <w:pStyle w:val="BodyTextIndent"/>
        <w:rPr/>
      </w:pPr>
      <w:r>
        <w:rPr/>
        <w:t>POP 801 – Supply Shortfall Procedures, which are procedures for the System Controller to follow in the unlikely event of a supply shortfall situation in Alberta.  This procedure change is required in order to update the present procedure with the latest Pool information.  This procedure will be of general interest to all Pool Participants.</w:t>
      </w:r>
    </w:p>
    <w:p>
      <w:pPr>
        <w:pStyle w:val="BodyTextIndent"/>
        <w:rPr/>
      </w:pPr>
      <w:r>
        <w:rPr/>
      </w:r>
    </w:p>
    <w:p>
      <w:pPr>
        <w:pStyle w:val="BodyTextIndent"/>
        <w:rPr/>
      </w:pPr>
      <w:r>
        <w:rPr/>
      </w:r>
    </w:p>
    <w:p>
      <w:pPr>
        <w:pStyle w:val="BodyTextIndent"/>
        <w:rPr/>
      </w:pPr>
      <w:r>
        <w:rPr/>
        <w:t>Proposed Technical Standard</w:t>
      </w:r>
    </w:p>
    <w:p>
      <w:pPr>
        <w:pStyle w:val="BodyTextIndent"/>
        <w:rPr/>
      </w:pPr>
      <w:r>
        <w:rPr/>
      </w:r>
    </w:p>
    <w:p>
      <w:pPr>
        <w:pStyle w:val="BodyTextIndent"/>
        <w:rPr/>
      </w:pPr>
      <w:r>
        <w:rPr>
          <w:color w:val="000000"/>
        </w:rPr>
        <w:t>Pool Code Section 003.1 – Facility Data and Communications for the Alberta Control Area</w:t>
      </w:r>
      <w:r>
        <w:rPr/>
        <w:t>, which specify the data requirements by the System Controller in fulfilling the real-time operational responsibilities.  This Technical Standard has been updated to improve the document quality and to address some Participant concerns.  This technical standard will be of interest to all Participants that own and operate facilities within the Alberta Control Area.</w:t>
      </w:r>
    </w:p>
    <w:p>
      <w:pPr>
        <w:pStyle w:val="BodyTextIndent"/>
        <w:rPr/>
      </w:pPr>
      <w:r>
        <w:rPr/>
      </w:r>
    </w:p>
    <w:p>
      <w:pPr>
        <w:pStyle w:val="BodyTextIndent"/>
        <w:rPr/>
      </w:pPr>
      <w:r>
        <w:rPr/>
      </w:r>
    </w:p>
    <w:p>
      <w:pPr>
        <w:pStyle w:val="BodyText"/>
        <w:ind w:start="450" w:end="0"/>
        <w:rPr/>
      </w:pPr>
      <w:r>
        <w:rPr/>
        <w:t>Comments and suggestions on the Code changes being proposed are encouraged.  Please provide feedback to myself by February 11, 2002.</w:t>
      </w:r>
    </w:p>
    <w:p>
      <w:pPr>
        <w:pStyle w:val="BodyText"/>
        <w:ind w:start="450" w:end="0"/>
        <w:rPr/>
      </w:pPr>
      <w:r>
        <w:rPr/>
      </w:r>
    </w:p>
    <w:p>
      <w:pPr>
        <w:pStyle w:val="BodyText"/>
        <w:ind w:start="450" w:end="0"/>
        <w:rPr/>
      </w:pPr>
      <w:r>
        <w:rPr/>
        <w:t>If you have any questions or concerns with respect to these Code changes, please feel free to contact me at any time.</w:t>
      </w:r>
    </w:p>
    <w:p>
      <w:pPr>
        <w:pStyle w:val="Normal"/>
        <w:ind w:start="446" w:end="0"/>
        <w:rPr>
          <w:sz w:val="24"/>
        </w:rPr>
      </w:pPr>
      <w:r>
        <w:rPr>
          <w:sz w:val="24"/>
        </w:rPr>
      </w:r>
    </w:p>
    <w:p>
      <w:pPr>
        <w:pStyle w:val="Normal"/>
        <w:ind w:start="446" w:end="0"/>
        <w:rPr>
          <w:sz w:val="24"/>
        </w:rPr>
      </w:pPr>
      <w:r>
        <w:rPr>
          <w:sz w:val="24"/>
        </w:rPr>
      </w:r>
    </w:p>
    <w:p>
      <w:pPr>
        <w:pStyle w:val="Normal"/>
        <w:ind w:start="446" w:end="0"/>
        <w:rPr>
          <w:sz w:val="24"/>
        </w:rPr>
      </w:pPr>
      <w:r>
        <w:rPr>
          <w:sz w:val="24"/>
        </w:rPr>
      </w:r>
    </w:p>
    <w:p>
      <w:pPr>
        <w:pStyle w:val="Normal"/>
        <w:ind w:start="446" w:end="0"/>
        <w:rPr>
          <w:sz w:val="24"/>
        </w:rPr>
      </w:pPr>
      <w:r>
        <w:rPr>
          <w:sz w:val="24"/>
        </w:rPr>
      </w:r>
    </w:p>
    <w:p>
      <w:pPr>
        <w:pStyle w:val="Normal"/>
        <w:ind w:start="446" w:end="0"/>
        <w:rPr>
          <w:sz w:val="24"/>
        </w:rPr>
      </w:pPr>
      <w:r>
        <w:rPr>
          <w:sz w:val="24"/>
        </w:rPr>
        <w:t>Sincerely,</w:t>
      </w:r>
    </w:p>
    <w:p>
      <w:pPr>
        <w:pStyle w:val="Normal"/>
        <w:ind w:start="446" w:end="0"/>
        <w:rPr>
          <w:b/>
          <w:i/>
          <w:i/>
          <w:sz w:val="24"/>
        </w:rPr>
      </w:pPr>
      <w:r>
        <w:rPr>
          <w:b/>
          <w:i/>
          <w:sz w:val="24"/>
        </w:rPr>
        <w:t>POWER POOL OF ALBERTA</w:t>
      </w:r>
    </w:p>
    <w:p>
      <w:pPr>
        <w:pStyle w:val="Normal"/>
        <w:ind w:start="446" w:end="0"/>
        <w:rPr>
          <w:b/>
          <w:i/>
          <w:i/>
          <w:sz w:val="24"/>
        </w:rPr>
      </w:pPr>
      <w:r>
        <w:rPr>
          <w:b/>
          <w:i/>
          <w:sz w:val="24"/>
        </w:rPr>
      </w:r>
    </w:p>
    <w:p>
      <w:pPr>
        <w:pStyle w:val="Normal"/>
        <w:ind w:start="446" w:end="0"/>
        <w:rPr>
          <w:sz w:val="24"/>
        </w:rPr>
      </w:pPr>
      <w:r>
        <w:rPr>
          <w:sz w:val="24"/>
        </w:rPr>
      </w:r>
    </w:p>
    <w:p>
      <w:pPr>
        <w:pStyle w:val="Normal"/>
        <w:ind w:start="446" w:end="0"/>
        <w:rPr>
          <w:sz w:val="24"/>
        </w:rPr>
      </w:pPr>
      <w:r>
        <w:rPr>
          <w:sz w:val="24"/>
        </w:rPr>
      </w:r>
    </w:p>
    <w:p>
      <w:pPr>
        <w:pStyle w:val="Normal"/>
        <w:ind w:start="446" w:end="0"/>
        <w:rPr>
          <w:sz w:val="24"/>
        </w:rPr>
      </w:pPr>
      <w:r>
        <w:rPr>
          <w:sz w:val="24"/>
        </w:rPr>
        <w:t>Doug Hincks</w:t>
      </w:r>
    </w:p>
    <w:p>
      <w:pPr>
        <w:pStyle w:val="Normal"/>
        <w:ind w:start="450" w:end="0"/>
        <w:rPr>
          <w:sz w:val="24"/>
        </w:rPr>
      </w:pPr>
      <w:r>
        <w:rPr>
          <w:sz w:val="24"/>
        </w:rPr>
        <w:t>Manager, Pool Code of Practice</w:t>
      </w:r>
    </w:p>
    <w:p>
      <w:pPr>
        <w:pStyle w:val="Normal"/>
        <w:ind w:start="450" w:end="0"/>
        <w:rPr>
          <w:sz w:val="24"/>
        </w:rPr>
      </w:pPr>
      <w:r>
        <w:rPr>
          <w:sz w:val="24"/>
        </w:rPr>
        <w:t>Phone (403) 543-0383</w:t>
      </w:r>
    </w:p>
    <w:p>
      <w:pPr>
        <w:pStyle w:val="Normal"/>
        <w:ind w:start="450" w:end="0"/>
        <w:rPr>
          <w:sz w:val="24"/>
        </w:rPr>
      </w:pPr>
      <w:r>
        <w:rPr>
          <w:sz w:val="24"/>
        </w:rPr>
        <w:t>Fax (403) 543-0388</w:t>
      </w:r>
    </w:p>
    <w:p>
      <w:pPr>
        <w:pStyle w:val="Normal"/>
        <w:ind w:start="450" w:end="0"/>
        <w:rPr>
          <w:sz w:val="24"/>
        </w:rPr>
      </w:pPr>
      <w:r>
        <w:rPr>
          <w:sz w:val="24"/>
        </w:rPr>
        <w:t>Email doug.hincks@powerpool.ab.ca</w:t>
      </w:r>
    </w:p>
    <w:sectPr>
      <w:footerReference w:type="default" r:id="rId3"/>
      <w:type w:val="nextPage"/>
      <w:pgSz w:w="12240" w:h="15840"/>
      <w:pgMar w:left="2074" w:right="1800" w:gutter="0" w:header="0" w:top="72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tabs>
        <w:tab w:val="clear" w:pos="8640"/>
        <w:tab w:val="center" w:pos="4320" w:leader="none"/>
        <w:tab w:val="right" w:pos="8280" w:leader="none"/>
      </w:tabs>
      <w:rPr>
        <w:u w:val="single"/>
      </w:rPr>
    </w:pPr>
    <w:r>
      <w:rPr>
        <w:u w:val="singl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450" w:end="0"/>
      <w:outlineLvl w:val="0"/>
    </w:pPr>
    <w:rPr>
      <w:b/>
      <w:i/>
      <w:u w:val="single"/>
    </w:rPr>
  </w:style>
  <w:style w:type="paragraph" w:styleId="Heading2">
    <w:name w:val="heading 2"/>
    <w:basedOn w:val="Normal"/>
    <w:next w:val="Normal"/>
    <w:qFormat/>
    <w:pPr>
      <w:keepNext w:val="true"/>
      <w:numPr>
        <w:ilvl w:val="1"/>
        <w:numId w:val="1"/>
      </w:numPr>
      <w:ind w:hanging="0" w:start="450" w:end="0"/>
      <w:outlineLvl w:val="1"/>
    </w:pPr>
    <w:rPr>
      <w:b/>
      <w:i/>
    </w:rPr>
  </w:style>
  <w:style w:type="paragraph" w:styleId="Heading3">
    <w:name w:val="heading 3"/>
    <w:basedOn w:val="Normal"/>
    <w:next w:val="Normal"/>
    <w:qFormat/>
    <w:pPr>
      <w:keepNext w:val="true"/>
      <w:numPr>
        <w:ilvl w:val="2"/>
        <w:numId w:val="1"/>
      </w:numPr>
      <w:ind w:hanging="0" w:start="450" w:end="0"/>
      <w:jc w:val="both"/>
      <w:outlineLvl w:val="2"/>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5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2002-01-28T19:09:00Z</dcterms:created>
  <dc:creator>Kayan Brown</dc:creator>
  <dc:description/>
  <dc:language>en-CA</dc:language>
  <cp:lastModifiedBy>jmcinnis</cp:lastModifiedBy>
  <cp:lastPrinted>2002-01-10T13:11:00Z</cp:lastPrinted>
  <dcterms:modified xsi:type="dcterms:W3CDTF">2002-01-28T19:09:00Z</dcterms:modified>
  <cp:revision>2</cp:revision>
  <dc:subject/>
  <dc:title> 	</dc:title>
</cp:coreProperties>
</file>