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rPr>
          <w:sz w:val="22"/>
        </w:rPr>
      </w:pPr>
      <w:r>
        <w:rPr>
          <w:sz w:val="22"/>
        </w:rPr>
        <w:t>To:</w:t>
        <w:tab/>
        <w:t>Distribution</w:t>
        <w:tab/>
        <w:tab/>
        <w:tab/>
        <w:tab/>
        <w:tab/>
        <w:t>Date:</w:t>
        <w:tab/>
        <w:t>May 2, 2000</w:t>
      </w:r>
    </w:p>
    <w:p>
      <w:pPr>
        <w:pStyle w:val="Normal"/>
        <w:spacing w:before="240" w:after="0"/>
        <w:rPr>
          <w:sz w:val="22"/>
        </w:rPr>
      </w:pPr>
      <w:r>
        <w:rPr>
          <w:sz w:val="22"/>
        </w:rPr>
        <w:t>From:</w:t>
        <w:tab/>
        <w:t>Rick Johnson</w:t>
        <w:tab/>
        <w:tab/>
        <w:tab/>
        <w:tab/>
        <w:tab/>
        <w:t>Dept:</w:t>
        <w:tab/>
        <w:t>Office of Labor &amp; Employment</w:t>
      </w:r>
    </w:p>
    <w:p>
      <w:pPr>
        <w:pStyle w:val="Normal"/>
        <w:pBdr>
          <w:bottom w:val="single" w:sz="12" w:space="1" w:color="000000"/>
        </w:pBdr>
        <w:spacing w:before="240" w:after="0"/>
        <w:rPr>
          <w:sz w:val="22"/>
        </w:rPr>
      </w:pPr>
      <w:r>
        <w:rPr>
          <w:sz w:val="22"/>
        </w:rPr>
        <w:t xml:space="preserve">                                                                                                         </w:t>
      </w:r>
      <w:r>
        <w:rPr>
          <w:sz w:val="22"/>
        </w:rPr>
        <w:t>Relations, Enron Corp HR</w:t>
      </w:r>
    </w:p>
    <w:p>
      <w:pPr>
        <w:pStyle w:val="Normal"/>
        <w:spacing w:before="240" w:after="0"/>
        <w:rPr>
          <w:sz w:val="22"/>
        </w:rPr>
      </w:pPr>
      <w:r>
        <w:rPr>
          <w:sz w:val="22"/>
        </w:rPr>
        <w:tab/>
        <w:t xml:space="preserve">In responding to the BP Amoco RFP, I would recommend the following general declarations.   As structure and deal specifics are fashioned into definitive agreements, a more focused union labor strategy will need to be determined.  It will remain important to better understand any condition precedents that emanate from the BP Amoco collective bargaining agreements.      </w:t>
      </w:r>
    </w:p>
    <w:p>
      <w:pPr>
        <w:pStyle w:val="Normal"/>
        <w:numPr>
          <w:ilvl w:val="0"/>
          <w:numId w:val="1"/>
        </w:numPr>
        <w:spacing w:before="240" w:after="0"/>
        <w:rPr>
          <w:sz w:val="22"/>
        </w:rPr>
      </w:pPr>
      <w:r>
        <w:rPr>
          <w:sz w:val="22"/>
        </w:rPr>
        <w:t>Would Enron propose hiring BPA employees as part of their O&amp;M workforce for the proposed co-generation units at either Texas City or Chocolate Bayou?</w:t>
      </w:r>
    </w:p>
    <w:p>
      <w:pPr>
        <w:pStyle w:val="Normal"/>
        <w:spacing w:before="240" w:after="0"/>
        <w:ind w:start="360" w:end="0"/>
        <w:rPr>
          <w:sz w:val="22"/>
        </w:rPr>
      </w:pPr>
      <w:r>
        <w:rPr>
          <w:i/>
          <w:sz w:val="22"/>
        </w:rPr>
        <w:t xml:space="preserve">Response:  </w:t>
      </w:r>
      <w:r>
        <w:rPr>
          <w:sz w:val="22"/>
        </w:rPr>
        <w:t xml:space="preserve">The requisite skill, knowledge, and ability requirements for O&amp;M work within the scope of this response have not been fully defined.  Design and technology features may require state of art technical competencies and experience.  Enron would anticipate the O&amp;M entity would actively consider any opportunity to solicit applications from personnel currently employed by BPA.  </w:t>
      </w:r>
      <w:r>
        <w:rPr>
          <w:i/>
          <w:sz w:val="22"/>
        </w:rPr>
        <w:t xml:space="preserve"> </w:t>
      </w:r>
    </w:p>
    <w:p>
      <w:pPr>
        <w:pStyle w:val="Normal"/>
        <w:numPr>
          <w:ilvl w:val="0"/>
          <w:numId w:val="1"/>
        </w:numPr>
        <w:spacing w:before="240" w:after="0"/>
        <w:rPr>
          <w:sz w:val="22"/>
        </w:rPr>
      </w:pPr>
      <w:r>
        <w:rPr>
          <w:sz w:val="22"/>
        </w:rPr>
        <w:t>At the Texas City site BPA employees are PACE union members.  Do you have a preference for using a represented or non-represented workforce at your Texas City co-generation unit?  If Enron is willing to use former BP Amoco utilities employees as part of the O&amp;M workforce, how would Enron propose to manage this transition?</w:t>
      </w:r>
    </w:p>
    <w:p>
      <w:pPr>
        <w:pStyle w:val="Normal"/>
        <w:spacing w:before="240" w:after="0"/>
        <w:ind w:start="360" w:end="0"/>
        <w:rPr/>
      </w:pPr>
      <w:r>
        <w:rPr>
          <w:i/>
          <w:sz w:val="22"/>
        </w:rPr>
        <w:t xml:space="preserve">Response: </w:t>
      </w:r>
      <w:r>
        <w:rPr>
          <w:sz w:val="22"/>
        </w:rPr>
        <w:t xml:space="preserve"> Enron respects employees’ rights of representation and determination under the provisions of the National Labor Relations Act.  We have both represented and non-represented facilities within our organization.  It has been our experience in the realm of the co-generation / merchant facilities that labor agreements and collective bargaining can serve to limit innovation and agility.  Union status notwithstanding, we recognize that commitment and dedication from a skilled workforce is critical to the successful operation and maintenance of facilities of this nature.  Enron would propose to work closely with BPA in addressing this topic.  We would suggest that the interests of affected workers, including former BP Amoco utility employees, should be an important consideration in establishing the facilities’ future workforce.  Transitional issues, including preserving current employee’s vested rights and benefits, will require specific and mutually defined stipulations.  </w:t>
      </w:r>
    </w:p>
    <w:p>
      <w:pPr>
        <w:pStyle w:val="Normal"/>
        <w:pBdr>
          <w:bottom w:val="single" w:sz="12" w:space="1" w:color="000000"/>
        </w:pBdr>
        <w:spacing w:before="240" w:after="0"/>
        <w:ind w:start="360" w:end="0"/>
        <w:jc w:val="center"/>
        <w:rPr>
          <w:sz w:val="22"/>
        </w:rPr>
      </w:pPr>
      <w:r>
        <w:rPr>
          <w:sz w:val="22"/>
        </w:rPr>
        <w:t>*          *          *</w:t>
      </w:r>
    </w:p>
    <w:p>
      <w:pPr>
        <w:pStyle w:val="Normal"/>
        <w:spacing w:before="240" w:after="0"/>
        <w:ind w:start="360" w:end="0"/>
        <w:rPr>
          <w:sz w:val="22"/>
        </w:rPr>
      </w:pPr>
      <w:r>
        <w:rPr>
          <w:sz w:val="22"/>
        </w:rPr>
        <w:t xml:space="preserve">Distribution: </w:t>
      </w:r>
    </w:p>
    <w:p>
      <w:pPr>
        <w:pStyle w:val="Normal"/>
        <w:rPr/>
      </w:pPr>
      <w:r>
        <w:rPr/>
        <w:tab/>
        <w:tab/>
        <w:t>Bob Carter / ENA Legal</w:t>
      </w:r>
    </w:p>
    <w:p>
      <w:pPr>
        <w:pStyle w:val="Normal"/>
        <w:rPr/>
      </w:pPr>
      <w:r>
        <w:rPr/>
        <w:tab/>
        <w:tab/>
        <w:t>Michelle Cash / ENA Legal</w:t>
      </w:r>
    </w:p>
    <w:p>
      <w:pPr>
        <w:pStyle w:val="Normal"/>
        <w:rPr/>
      </w:pPr>
      <w:r>
        <w:rPr/>
        <w:tab/>
        <w:tab/>
        <w:t>Glenn Wright /  ENA Development – BP Amoco</w:t>
      </w:r>
    </w:p>
    <w:p>
      <w:pPr>
        <w:pStyle w:val="Normal"/>
        <w:rPr/>
      </w:pPr>
      <w:r>
        <w:rPr/>
        <w:tab/>
        <w:tab/>
        <w:t>File: opco/ect/BPA/01bpa.doc</w:t>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2000-05-01T17:58:00Z</dcterms:created>
  <dc:creator>PGE</dc:creator>
  <dc:description/>
  <dc:language>en-CA</dc:language>
  <cp:lastModifiedBy>PGE</cp:lastModifiedBy>
  <cp:lastPrinted>2000-05-01T15:35:00Z</cp:lastPrinted>
  <dcterms:modified xsi:type="dcterms:W3CDTF">2000-05-02T14:28:00Z</dcterms:modified>
  <cp:revision>6</cp:revision>
  <dc:subject/>
  <dc:title>1</dc:title>
</cp:coreProperties>
</file>