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jc w:val="center"/>
        <w:rPr/>
      </w:pPr>
      <w:r>
        <w:rPr/>
        <w:t>March 8, 2001</w:t>
      </w:r>
    </w:p>
    <w:p>
      <w:pPr>
        <w:pStyle w:val="Normal"/>
        <w:jc w:val="center"/>
        <w:rPr/>
      </w:pPr>
      <w:r>
        <w:rPr/>
      </w:r>
    </w:p>
    <w:p>
      <w:pPr>
        <w:pStyle w:val="Normal"/>
        <w:jc w:val="center"/>
        <w:rPr/>
      </w:pPr>
      <w:r>
        <w:rPr/>
      </w:r>
    </w:p>
    <w:p>
      <w:pPr>
        <w:pStyle w:val="Normal"/>
        <w:jc w:val="center"/>
        <w:rPr/>
      </w:pPr>
      <w:r>
        <w:rPr/>
      </w:r>
    </w:p>
    <w:p>
      <w:pPr>
        <w:pStyle w:val="Normal"/>
        <w:rPr/>
      </w:pPr>
      <w:r>
        <w:rPr/>
      </w:r>
    </w:p>
    <w:p>
      <w:pPr>
        <w:pStyle w:val="Header"/>
        <w:tabs>
          <w:tab w:val="clear" w:pos="4320"/>
          <w:tab w:val="clear" w:pos="8640"/>
        </w:tabs>
        <w:rPr/>
      </w:pPr>
      <w:r>
        <w:rPr/>
        <w:t>Douglas J. Law</w:t>
      </w:r>
    </w:p>
    <w:p>
      <w:pPr>
        <w:pStyle w:val="Normal"/>
        <w:rPr/>
      </w:pPr>
      <w:r>
        <w:rPr/>
        <w:t>Blackwell Sanders Peper Martin</w:t>
      </w:r>
    </w:p>
    <w:p>
      <w:pPr>
        <w:pStyle w:val="Normal"/>
        <w:rPr/>
      </w:pPr>
      <w:r>
        <w:rPr/>
        <w:t>13710 FNB Parkway</w:t>
      </w:r>
    </w:p>
    <w:p>
      <w:pPr>
        <w:pStyle w:val="Normal"/>
        <w:rPr/>
      </w:pPr>
      <w:r>
        <w:rPr/>
        <w:t>Suite 200</w:t>
      </w:r>
    </w:p>
    <w:p>
      <w:pPr>
        <w:pStyle w:val="Normal"/>
        <w:rPr/>
      </w:pPr>
      <w:r>
        <w:rPr/>
        <w:t>Omaha NE  68154-8090</w:t>
      </w:r>
    </w:p>
    <w:p>
      <w:pPr>
        <w:pStyle w:val="Normal"/>
        <w:rPr/>
      </w:pPr>
      <w:r>
        <w:rPr/>
      </w:r>
    </w:p>
    <w:p>
      <w:pPr>
        <w:pStyle w:val="Normal"/>
        <w:rPr/>
      </w:pPr>
      <w:r>
        <w:rPr/>
        <w:tab/>
        <w:t>Re:  Kansas Ad Valorem Tax Refunds</w:t>
      </w:r>
    </w:p>
    <w:p>
      <w:pPr>
        <w:pStyle w:val="Normal"/>
        <w:rPr/>
      </w:pPr>
      <w:r>
        <w:rPr/>
      </w:r>
    </w:p>
    <w:p>
      <w:pPr>
        <w:pStyle w:val="Normal"/>
        <w:rPr/>
      </w:pPr>
      <w:r>
        <w:rPr/>
        <w:t>Dear Doug:</w:t>
      </w:r>
    </w:p>
    <w:p>
      <w:pPr>
        <w:pStyle w:val="Normal"/>
        <w:rPr/>
      </w:pPr>
      <w:r>
        <w:rPr/>
      </w:r>
    </w:p>
    <w:p>
      <w:pPr>
        <w:pStyle w:val="Normal"/>
        <w:rPr/>
      </w:pPr>
      <w:r>
        <w:rPr/>
        <w:t>I appreciate your letter dated February 14.  I believe you have generally stated Northern’s legal position on the non-jurisdictional Kansas ad valorem tax refund issue accurately, but I would like to further explain our position in several areas.</w:t>
      </w:r>
    </w:p>
    <w:p>
      <w:pPr>
        <w:pStyle w:val="Normal"/>
        <w:rPr/>
      </w:pPr>
      <w:r>
        <w:rPr/>
      </w:r>
    </w:p>
    <w:p>
      <w:pPr>
        <w:pStyle w:val="Normal"/>
        <w:rPr/>
      </w:pPr>
      <w:r>
        <w:rPr/>
        <w:t xml:space="preserve">First, you challenge Northern’s view that no rights to the Kansas ad valorem tax refunds in question passed to UtiliCorp under the gas purchase contracts that were terminated at the time of the sale of Peoples’ assets to UtiliCorp.  Your argument and reference to the </w:t>
      </w:r>
      <w:r>
        <w:rPr>
          <w:u w:val="single"/>
        </w:rPr>
        <w:t>Boston Edison</w:t>
      </w:r>
      <w:r>
        <w:rPr/>
        <w:t xml:space="preserve"> case, however, is misplaced.  Northern does not argue that the contract terminations extinguished rights that UtiliCorp otherwise had.  Rather, UtiliCorp never was a party to the gas purchase contracts in question, and these contracts were never assigned to UtiliCorp.  Therefore, UtiliCorp is not in a position to assert any right to these refunds under the gas purchase contracts that were in place during the 1983 to 1985 time period.  The </w:t>
      </w:r>
      <w:r>
        <w:rPr>
          <w:u w:val="single"/>
        </w:rPr>
        <w:t>Boston Edison</w:t>
      </w:r>
      <w:r>
        <w:rPr/>
        <w:t xml:space="preserve"> decision is unavailing for UtiliCorp because UtiliCorp was not the customer that took service from Northern during the time period to which the allegedly due refunds would apply.  The entity that did take service no longer exists and whatever right it might have had to assert a claim for refunds does not automatically transfer to UtiliCorp.</w:t>
      </w:r>
    </w:p>
    <w:p>
      <w:pPr>
        <w:pStyle w:val="Normal"/>
        <w:rPr/>
      </w:pPr>
      <w:r>
        <w:rPr/>
      </w:r>
    </w:p>
    <w:p>
      <w:pPr>
        <w:pStyle w:val="Normal"/>
        <w:rPr/>
      </w:pPr>
      <w:r>
        <w:rPr/>
        <w:t>You also refer to two specific instances in which refunds or proceeds relating to pre-closing matters would be payable or due UtiliCorp under the terms of the InterNorth/UtiliCorp Agreement.  We disagree with your assertion that these two examples demonstrate UtiliCorp’s right to the Kansas ad valorem tax refunds as a matter of intent.  These two examples demonstrate the opposite.  These two specific references demonstrate the parties’ ability to specifically address the issue of liabilities or refunds.  Thus, with regard to the municipal condemnations that were pending at the time of the December 20, 1985 transaction, the parties provided that UtiliCorp would receive any condemnation awards in lieu of adjustments to the balance sheet.  In your second example, InterNorth simply agreed to reimburse UtiliCorp for any over/under collection of the 1984 Iowa ACA.  Since UtiliCorp was purchasing, or assuming, the overrecoved/underrecovered purchase gas cost account, this provision is locigal in light of the fact that the Iowa Utilities Board had recently rejected Peoples’ 1984 ACA filing.  The fact remains that the parties could have included a more general provision to transfer the right to refunds such as the non-jurisdictional Kansas ad valorem tax refunds to UtiliCorp, but did not do so.</w:t>
      </w:r>
    </w:p>
    <w:p>
      <w:pPr>
        <w:pStyle w:val="Normal"/>
        <w:rPr/>
      </w:pPr>
      <w:r>
        <w:rPr/>
      </w:r>
    </w:p>
    <w:p>
      <w:pPr>
        <w:pStyle w:val="Normal"/>
        <w:rPr/>
      </w:pPr>
      <w:r>
        <w:rPr/>
        <w:t>This leads, then, to your reference to the equities.  We do not have an opinion as to your assertion that UtiliCorp has no duty to refund to its customers amounts related to overcharges for the 1983 to 1985 time period.  That clearly is a matter between UtiliCorp and its state commissions.  However, we do reject any argument that “equity” demands that Northern make refunds to Peoples’ state jurisdictional customers.  No authority exists for any such action by Northern.  Moreover, equity cannot be argued in a vacuum but rather must take into account all relevant facts.  InterNorth and UtiliCorp negotiated a comprehensive agreement for the sale of the Peoples’ assets.  That agreement is memorialized in very detailed contracts. that precisely and carefully balance the risks and opportunities for both parties.  It is inequitable now, years after the fact, to reach back and modify the basic economics of that transaction.  [Further, that Purchase Agreement was reviewed by and approved by the relevant State Commissions.  If there was something about the risks and benefits of that transaction that was inequitable it should have been solved at that time.  No such concerns were raised.[TRUE??]]  Finally, the Kansas ad valorem tax refund issue on Northern’s system was recently the subject of a comprehensive settlement to which UCU [and the relevant state commissions] were party.  That settlement, like the original 1985 transaction, reflected a delicate balancing of risks and economic interests.  To modify that balancing now in the name of “equity” makes no sense and is anything but equitable.  [But, the Settlement expressly excluded non-jurisdictional refunds.]</w:t>
      </w:r>
    </w:p>
    <w:p>
      <w:pPr>
        <w:pStyle w:val="Normal"/>
        <w:rPr/>
      </w:pPr>
      <w:r>
        <w:rPr/>
      </w:r>
    </w:p>
    <w:p>
      <w:pPr>
        <w:pStyle w:val="Normal"/>
        <w:rPr/>
      </w:pPr>
      <w:r>
        <w:rPr/>
        <w:t xml:space="preserve">For the reasons set forth above, Northern respectfully rejects UtiliCorp’s claim to Kansas ad valorem refunds for the period preceding UtiliCorp’s purchase of  the Peoples” assets. </w:t>
      </w:r>
    </w:p>
    <w:p>
      <w:pPr>
        <w:pStyle w:val="Header"/>
        <w:tabs>
          <w:tab w:val="clear" w:pos="4320"/>
          <w:tab w:val="clear" w:pos="8640"/>
        </w:tabs>
        <w:rPr/>
      </w:pPr>
      <w:r>
        <w:rPr/>
      </w:r>
    </w:p>
    <w:p>
      <w:pPr>
        <w:pStyle w:val="Normal"/>
        <w:rPr/>
      </w:pPr>
      <w:r>
        <w:rPr/>
        <w:t>Should you have any questions, please feel free to contact me.</w:t>
      </w:r>
    </w:p>
    <w:p>
      <w:pPr>
        <w:pStyle w:val="Normal"/>
        <w:rPr/>
      </w:pPr>
      <w:r>
        <w:rPr/>
      </w:r>
    </w:p>
    <w:p>
      <w:pPr>
        <w:pStyle w:val="Normal"/>
        <w:rPr/>
      </w:pPr>
      <w:r>
        <w:rPr/>
        <w:tab/>
        <w:tab/>
        <w:tab/>
        <w:tab/>
        <w:tab/>
        <w:tab/>
        <w:tab/>
        <w:tab/>
        <w:t>Very truly yours,</w:t>
      </w:r>
    </w:p>
    <w:p>
      <w:pPr>
        <w:pStyle w:val="Normal"/>
        <w:rPr/>
      </w:pPr>
      <w:r>
        <w:rPr/>
      </w:r>
    </w:p>
    <w:p>
      <w:pPr>
        <w:pStyle w:val="Normal"/>
        <w:rPr/>
      </w:pPr>
      <w:r>
        <w:rPr/>
      </w:r>
    </w:p>
    <w:p>
      <w:pPr>
        <w:pStyle w:val="Normal"/>
        <w:rPr/>
      </w:pPr>
      <w:r>
        <w:rPr/>
      </w:r>
    </w:p>
    <w:p>
      <w:pPr>
        <w:pStyle w:val="Normal"/>
        <w:rPr/>
      </w:pPr>
      <w:r>
        <w:rPr/>
        <w:tab/>
        <w:tab/>
        <w:tab/>
        <w:tab/>
        <w:tab/>
        <w:tab/>
        <w:tab/>
        <w:tab/>
        <w:t>Drew J. Fossum</w:t>
      </w:r>
    </w:p>
    <w:p>
      <w:pPr>
        <w:pStyle w:val="Header"/>
        <w:tabs>
          <w:tab w:val="clear" w:pos="4320"/>
          <w:tab w:val="clear" w:pos="8640"/>
        </w:tabs>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jrt/01-345</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2001-03-05T15:38:00Z</dcterms:created>
  <dc:creator>Ann Smith</dc:creator>
  <dc:description/>
  <dc:language>en-CA</dc:language>
  <cp:lastModifiedBy>Ann Smith</cp:lastModifiedBy>
  <cp:lastPrinted>2001-03-08T15:37:00Z</cp:lastPrinted>
  <dcterms:modified xsi:type="dcterms:W3CDTF">2001-03-08T19:09:00Z</dcterms:modified>
  <cp:revision>7</cp:revision>
  <dc:subject/>
  <dc:title/>
</cp:coreProperties>
</file>