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pBdr>
          <w:bottom w:val="single" w:sz="24" w:space="1" w:color="C0C0C0"/>
        </w:pBdr>
        <w:jc w:val="end"/>
        <w:rPr>
          <w:rFonts w:ascii="Helvetica;Arial" w:hAnsi="Helvetica;Arial" w:cs="Helvetica;Arial"/>
          <w:b/>
          <w:sz w:val="32"/>
        </w:rPr>
      </w:pPr>
      <w:r>
        <w:rPr>
          <w:rFonts w:cs="Helvetica;Arial" w:ascii="Helvetica;Arial" w:hAnsi="Helvetica;Arial"/>
          <w:b/>
          <w:sz w:val="32"/>
        </w:rPr>
        <w:t>Schroder &amp; Co. Inc.</w:t>
      </w:r>
    </w:p>
    <w:p>
      <w:pPr>
        <w:pStyle w:val="Normal"/>
        <w:widowControl/>
        <w:jc w:val="end"/>
        <w:rPr>
          <w:rFonts w:ascii="Helvetica;Arial" w:hAnsi="Helvetica;Arial" w:cs="Helvetica;Arial"/>
          <w:b/>
        </w:rPr>
      </w:pPr>
      <w:r>
        <w:rPr>
          <w:rFonts w:cs="Helvetica;Arial" w:ascii="Helvetica;Arial" w:hAnsi="Helvetica;Arial"/>
          <w:b/>
        </w:rPr>
        <w:t>MORNING MEETING HIGHLIGHTS</w:t>
      </w:r>
    </w:p>
    <w:p>
      <w:pPr>
        <w:pStyle w:val="Normal"/>
        <w:widowControl/>
        <w:tabs>
          <w:tab w:val="clear" w:pos="720"/>
          <w:tab w:val="left" w:pos="7920" w:leader="none"/>
        </w:tabs>
        <w:jc w:val="both"/>
        <w:rPr>
          <w:rFonts w:ascii="Helvetica;Arial" w:hAnsi="Helvetica;Arial" w:cs="Helvetica;Arial"/>
          <w:b/>
        </w:rPr>
      </w:pPr>
      <w:r>
        <w:rPr>
          <w:rFonts w:cs="Helvetica;Arial" w:ascii="Helvetica;Arial" w:hAnsi="Helvetica;Arial"/>
          <w:b/>
        </w:rPr>
        <w:t>RAYMOND C. NILES (212) 492-7081</w:t>
      </w:r>
    </w:p>
    <w:p>
      <w:pPr>
        <w:pStyle w:val="Normal"/>
        <w:widowControl/>
        <w:tabs>
          <w:tab w:val="clear" w:pos="720"/>
          <w:tab w:val="left" w:pos="7920" w:leader="none"/>
        </w:tabs>
        <w:jc w:val="both"/>
        <w:rPr/>
      </w:pPr>
      <w:r>
        <w:rPr>
          <w:rFonts w:cs="Helvetica;Arial" w:ascii="Helvetica;Arial" w:hAnsi="Helvetica;Arial"/>
          <w:b/>
          <w:sz w:val="16"/>
        </w:rPr>
        <w:t>ray.niles@us.schroders.com</w:t>
      </w:r>
      <w:r>
        <w:rPr>
          <w:rFonts w:cs="Helvetica;Arial" w:ascii="Helvetica;Arial" w:hAnsi="Helvetica;Arial"/>
          <w:b/>
        </w:rPr>
        <w:t xml:space="preserve"> </w:t>
      </w:r>
    </w:p>
    <w:tbl>
      <w:tblPr>
        <w:tblW w:w="10458" w:type="dxa"/>
        <w:jc w:val="start"/>
        <w:tblInd w:w="0" w:type="dxa"/>
        <w:tblLayout w:type="fixed"/>
        <w:tblCellMar>
          <w:top w:w="0" w:type="dxa"/>
          <w:start w:w="108" w:type="dxa"/>
          <w:bottom w:w="0" w:type="dxa"/>
          <w:end w:w="108" w:type="dxa"/>
        </w:tblCellMar>
      </w:tblPr>
      <w:tblGrid>
        <w:gridCol w:w="7668"/>
        <w:gridCol w:w="2790"/>
      </w:tblGrid>
      <w:tr>
        <w:trPr/>
        <w:tc>
          <w:tcPr>
            <w:tcW w:w="7668" w:type="dxa"/>
            <w:tcBorders/>
          </w:tcPr>
          <w:p>
            <w:pPr>
              <w:pStyle w:val="Normal"/>
              <w:widowControl/>
              <w:tabs>
                <w:tab w:val="clear" w:pos="720"/>
                <w:tab w:val="left" w:pos="7920" w:leader="none"/>
              </w:tabs>
              <w:jc w:val="both"/>
              <w:rPr>
                <w:rFonts w:ascii="Helvetica;Arial" w:hAnsi="Helvetica;Arial" w:cs="Helvetica;Arial"/>
                <w:b/>
                <w:sz w:val="16"/>
              </w:rPr>
            </w:pPr>
            <w:r>
              <w:rPr>
                <w:rFonts w:cs="Helvetica;Arial" w:ascii="Helvetica;Arial" w:hAnsi="Helvetica;Arial"/>
                <w:b/>
              </w:rPr>
              <w:t>DALE F. MEYERHOEFFER, CFA (212) 492-7054</w:t>
            </w:r>
          </w:p>
        </w:tc>
        <w:tc>
          <w:tcPr>
            <w:tcW w:w="2790" w:type="dxa"/>
            <w:tcBorders/>
          </w:tcPr>
          <w:p>
            <w:pPr>
              <w:pStyle w:val="Normal"/>
              <w:widowControl/>
              <w:snapToGrid w:val="false"/>
              <w:jc w:val="end"/>
              <w:rPr>
                <w:rFonts w:ascii="Helvetica;Arial" w:hAnsi="Helvetica;Arial" w:cs="Helvetica;Arial"/>
                <w:b/>
                <w:sz w:val="16"/>
              </w:rPr>
            </w:pPr>
            <w:r>
              <w:rPr>
                <w:rFonts w:cs="Helvetica;Arial" w:ascii="Helvetica;Arial" w:hAnsi="Helvetica;Arial"/>
                <w:b/>
                <w:sz w:val="16"/>
              </w:rPr>
            </w:r>
          </w:p>
        </w:tc>
      </w:tr>
      <w:tr>
        <w:trPr/>
        <w:tc>
          <w:tcPr>
            <w:tcW w:w="7668" w:type="dxa"/>
            <w:tcBorders/>
          </w:tcPr>
          <w:p>
            <w:pPr>
              <w:pStyle w:val="Normal"/>
              <w:widowControl/>
              <w:tabs>
                <w:tab w:val="clear" w:pos="720"/>
                <w:tab w:val="left" w:pos="7920" w:leader="none"/>
              </w:tabs>
              <w:jc w:val="both"/>
              <w:rPr>
                <w:rFonts w:ascii="Helvetica;Arial" w:hAnsi="Helvetica;Arial" w:cs="Helvetica;Arial"/>
                <w:b/>
                <w:sz w:val="16"/>
              </w:rPr>
            </w:pPr>
            <w:r>
              <w:rPr>
                <w:rFonts w:cs="Helvetica;Arial" w:ascii="Helvetica;Arial" w:hAnsi="Helvetica;Arial"/>
                <w:b/>
                <w:sz w:val="16"/>
              </w:rPr>
              <w:t>dale.meyerhoeffer@us.schroders.com</w:t>
            </w:r>
          </w:p>
        </w:tc>
        <w:tc>
          <w:tcPr>
            <w:tcW w:w="2790" w:type="dxa"/>
            <w:tcBorders/>
          </w:tcPr>
          <w:p>
            <w:pPr>
              <w:pStyle w:val="Normal"/>
              <w:widowControl/>
              <w:jc w:val="end"/>
              <w:rPr>
                <w:rFonts w:ascii="Helvetica;Arial" w:hAnsi="Helvetica;Arial" w:cs="Helvetica;Arial"/>
                <w:b/>
              </w:rPr>
            </w:pPr>
            <w:r>
              <w:rPr>
                <w:rFonts w:cs="Helvetica;Arial" w:ascii="Helvetica;Arial" w:hAnsi="Helvetica;Arial"/>
                <w:b/>
              </w:rPr>
              <w:t>Rating 1</w:t>
            </w:r>
          </w:p>
        </w:tc>
      </w:tr>
      <w:tr>
        <w:trPr/>
        <w:tc>
          <w:tcPr>
            <w:tcW w:w="7668" w:type="dxa"/>
            <w:tcBorders/>
          </w:tcPr>
          <w:p>
            <w:pPr>
              <w:pStyle w:val="Normal"/>
              <w:widowControl/>
              <w:rPr>
                <w:rFonts w:ascii="Helvetica;Arial" w:hAnsi="Helvetica;Arial" w:cs="Helvetica;Arial"/>
                <w:b/>
              </w:rPr>
            </w:pPr>
            <w:r>
              <w:rPr>
                <w:rFonts w:cs="Helvetica;Arial" w:ascii="Helvetica;Arial" w:hAnsi="Helvetica;Arial"/>
                <w:b/>
              </w:rPr>
              <w:t>January 21, 2000</w:t>
            </w:r>
          </w:p>
        </w:tc>
        <w:tc>
          <w:tcPr>
            <w:tcW w:w="2790" w:type="dxa"/>
            <w:tcBorders/>
          </w:tcPr>
          <w:p>
            <w:pPr>
              <w:pStyle w:val="Normal"/>
              <w:widowControl/>
              <w:jc w:val="end"/>
              <w:rPr>
                <w:rFonts w:ascii="Helvetica;Arial" w:hAnsi="Helvetica;Arial" w:cs="Helvetica;Arial"/>
                <w:b/>
              </w:rPr>
            </w:pPr>
            <w:r>
              <w:rPr>
                <w:rFonts w:cs="Helvetica;Arial" w:ascii="Helvetica;Arial" w:hAnsi="Helvetica;Arial"/>
                <w:b/>
              </w:rPr>
              <w:t>Former 1</w:t>
            </w:r>
          </w:p>
        </w:tc>
      </w:tr>
    </w:tbl>
    <w:p>
      <w:pPr>
        <w:pStyle w:val="Normal"/>
        <w:widowControl/>
        <w:jc w:val="both"/>
        <w:rPr>
          <w:rFonts w:ascii="Helvetica;Arial" w:hAnsi="Helvetica;Arial" w:cs="Helvetica;Arial"/>
        </w:rPr>
      </w:pPr>
      <w:r>
        <w:rPr>
          <w:rFonts w:cs="Helvetica;Arial" w:ascii="Helvetica;Arial" w:hAnsi="Helvetica;Arial"/>
        </w:rPr>
      </w:r>
    </w:p>
    <w:p>
      <w:pPr>
        <w:pStyle w:val="Normal"/>
        <w:widowControl/>
        <w:jc w:val="center"/>
        <w:rPr/>
      </w:pPr>
      <w:r>
        <w:rPr>
          <w:rFonts w:cs="Helvetica;Arial" w:ascii="Helvetica;Arial" w:hAnsi="Helvetica;Arial"/>
          <w:b/>
        </w:rPr>
        <w:t>ENRON (ENE–$67 3/8)</w:t>
      </w:r>
    </w:p>
    <w:tbl>
      <w:tblPr>
        <w:tblW w:w="10458" w:type="dxa"/>
        <w:jc w:val="start"/>
        <w:tblInd w:w="0" w:type="dxa"/>
        <w:tblLayout w:type="fixed"/>
        <w:tblCellMar>
          <w:top w:w="0" w:type="dxa"/>
          <w:start w:w="108" w:type="dxa"/>
          <w:bottom w:w="0" w:type="dxa"/>
          <w:end w:w="108" w:type="dxa"/>
        </w:tblCellMar>
      </w:tblPr>
      <w:tblGrid>
        <w:gridCol w:w="3888"/>
        <w:gridCol w:w="1800"/>
        <w:gridCol w:w="3150"/>
        <w:gridCol w:w="1620"/>
      </w:tblGrid>
      <w:tr>
        <w:trPr/>
        <w:tc>
          <w:tcPr>
            <w:tcW w:w="3888" w:type="dxa"/>
            <w:tcBorders>
              <w:top w:val="single" w:sz="6" w:space="0" w:color="000000"/>
            </w:tcBorders>
          </w:tcPr>
          <w:p>
            <w:pPr>
              <w:pStyle w:val="Normal"/>
              <w:widowControl/>
              <w:rPr>
                <w:rFonts w:ascii="Helvetica;Arial" w:hAnsi="Helvetica;Arial" w:cs="Helvetica;Arial"/>
                <w:b/>
              </w:rPr>
            </w:pPr>
            <w:r>
              <w:rPr>
                <w:rFonts w:cs="Helvetica;Arial" w:ascii="Helvetica;Arial" w:hAnsi="Helvetica;Arial"/>
                <w:b/>
              </w:rPr>
              <w:t>ROE (1999E)</w:t>
            </w:r>
          </w:p>
        </w:tc>
        <w:tc>
          <w:tcPr>
            <w:tcW w:w="1800" w:type="dxa"/>
            <w:tcBorders>
              <w:top w:val="single" w:sz="6" w:space="0" w:color="000000"/>
            </w:tcBorders>
          </w:tcPr>
          <w:p>
            <w:pPr>
              <w:pStyle w:val="Normal"/>
              <w:widowControl/>
              <w:ind w:end="72"/>
              <w:rPr>
                <w:rFonts w:ascii="Helvetica;Arial" w:hAnsi="Helvetica;Arial" w:cs="Helvetica;Arial"/>
                <w:b/>
              </w:rPr>
            </w:pPr>
            <w:r>
              <w:rPr>
                <w:rFonts w:cs="Helvetica;Arial" w:ascii="Helvetica;Arial" w:hAnsi="Helvetica;Arial"/>
                <w:b/>
              </w:rPr>
              <w:t>10.1%</w:t>
            </w:r>
          </w:p>
        </w:tc>
        <w:tc>
          <w:tcPr>
            <w:tcW w:w="3150" w:type="dxa"/>
            <w:tcBorders>
              <w:top w:val="single" w:sz="6" w:space="0" w:color="000000"/>
            </w:tcBorders>
          </w:tcPr>
          <w:p>
            <w:pPr>
              <w:pStyle w:val="Normal"/>
              <w:widowControl/>
              <w:ind w:hanging="18" w:end="0"/>
              <w:rPr>
                <w:rFonts w:ascii="Helvetica;Arial" w:hAnsi="Helvetica;Arial" w:cs="Helvetica;Arial"/>
                <w:b/>
              </w:rPr>
            </w:pPr>
            <w:r>
              <w:rPr>
                <w:rFonts w:cs="Helvetica;Arial" w:ascii="Helvetica;Arial" w:hAnsi="Helvetica;Arial"/>
                <w:b/>
              </w:rPr>
              <w:t>Dividend</w:t>
            </w:r>
          </w:p>
        </w:tc>
        <w:tc>
          <w:tcPr>
            <w:tcW w:w="1620" w:type="dxa"/>
            <w:tcBorders>
              <w:top w:val="single" w:sz="6" w:space="0" w:color="000000"/>
            </w:tcBorders>
          </w:tcPr>
          <w:p>
            <w:pPr>
              <w:pStyle w:val="Normal"/>
              <w:widowControl/>
              <w:rPr>
                <w:rFonts w:ascii="Helvetica;Arial" w:hAnsi="Helvetica;Arial" w:cs="Helvetica;Arial"/>
                <w:b/>
              </w:rPr>
            </w:pPr>
            <w:r>
              <w:rPr>
                <w:rFonts w:cs="Helvetica;Arial" w:ascii="Helvetica;Arial" w:hAnsi="Helvetica;Arial"/>
                <w:b/>
              </w:rPr>
              <w:t>$0.50</w:t>
            </w:r>
          </w:p>
        </w:tc>
      </w:tr>
      <w:tr>
        <w:trPr/>
        <w:tc>
          <w:tcPr>
            <w:tcW w:w="3888" w:type="dxa"/>
            <w:tcBorders/>
          </w:tcPr>
          <w:p>
            <w:pPr>
              <w:pStyle w:val="Normal"/>
              <w:widowControl/>
              <w:rPr>
                <w:rFonts w:ascii="Helvetica;Arial" w:hAnsi="Helvetica;Arial" w:cs="Helvetica;Arial"/>
                <w:b/>
              </w:rPr>
            </w:pPr>
            <w:r>
              <w:rPr>
                <w:rFonts w:cs="Helvetica;Arial" w:ascii="Helvetica;Arial" w:hAnsi="Helvetica;Arial"/>
                <w:b/>
              </w:rPr>
              <w:t>Tot. Debt/Cap</w:t>
            </w:r>
          </w:p>
        </w:tc>
        <w:tc>
          <w:tcPr>
            <w:tcW w:w="1800" w:type="dxa"/>
            <w:tcBorders/>
          </w:tcPr>
          <w:p>
            <w:pPr>
              <w:pStyle w:val="Normal"/>
              <w:widowControl/>
              <w:ind w:end="72"/>
              <w:rPr>
                <w:rFonts w:ascii="Helvetica;Arial" w:hAnsi="Helvetica;Arial" w:cs="Helvetica;Arial"/>
                <w:b/>
              </w:rPr>
            </w:pPr>
            <w:r>
              <w:rPr>
                <w:rFonts w:cs="Helvetica;Arial" w:ascii="Helvetica;Arial" w:hAnsi="Helvetica;Arial"/>
                <w:b/>
              </w:rPr>
              <w:t>49%</w:t>
            </w:r>
          </w:p>
        </w:tc>
        <w:tc>
          <w:tcPr>
            <w:tcW w:w="3150" w:type="dxa"/>
            <w:tcBorders/>
          </w:tcPr>
          <w:p>
            <w:pPr>
              <w:pStyle w:val="Normal"/>
              <w:widowControl/>
              <w:ind w:hanging="18" w:end="0"/>
              <w:rPr>
                <w:rFonts w:ascii="Helvetica;Arial" w:hAnsi="Helvetica;Arial" w:cs="Helvetica;Arial"/>
                <w:b/>
              </w:rPr>
            </w:pPr>
            <w:r>
              <w:rPr>
                <w:rFonts w:cs="Helvetica;Arial" w:ascii="Helvetica;Arial" w:hAnsi="Helvetica;Arial"/>
                <w:b/>
              </w:rPr>
              <w:t>Yield</w:t>
            </w:r>
          </w:p>
        </w:tc>
        <w:tc>
          <w:tcPr>
            <w:tcW w:w="1620" w:type="dxa"/>
            <w:tcBorders/>
          </w:tcPr>
          <w:p>
            <w:pPr>
              <w:pStyle w:val="Normal"/>
              <w:widowControl/>
              <w:rPr>
                <w:rFonts w:ascii="Helvetica;Arial" w:hAnsi="Helvetica;Arial" w:cs="Helvetica;Arial"/>
                <w:b/>
              </w:rPr>
            </w:pPr>
            <w:r>
              <w:rPr>
                <w:rFonts w:cs="Helvetica;Arial" w:ascii="Helvetica;Arial" w:hAnsi="Helvetica;Arial"/>
                <w:b/>
              </w:rPr>
              <w:t>1.0%</w:t>
            </w:r>
          </w:p>
        </w:tc>
      </w:tr>
      <w:tr>
        <w:trPr/>
        <w:tc>
          <w:tcPr>
            <w:tcW w:w="3888" w:type="dxa"/>
            <w:tcBorders/>
          </w:tcPr>
          <w:p>
            <w:pPr>
              <w:pStyle w:val="Normal"/>
              <w:widowControl/>
              <w:rPr>
                <w:rFonts w:ascii="Helvetica;Arial" w:hAnsi="Helvetica;Arial" w:cs="Helvetica;Arial"/>
                <w:b/>
              </w:rPr>
            </w:pPr>
            <w:r>
              <w:rPr>
                <w:rFonts w:cs="Helvetica;Arial" w:ascii="Helvetica;Arial" w:hAnsi="Helvetica;Arial"/>
                <w:b/>
              </w:rPr>
              <w:t>Shares Out</w:t>
            </w:r>
          </w:p>
        </w:tc>
        <w:tc>
          <w:tcPr>
            <w:tcW w:w="1800" w:type="dxa"/>
            <w:tcBorders/>
          </w:tcPr>
          <w:p>
            <w:pPr>
              <w:pStyle w:val="Normal"/>
              <w:widowControl/>
              <w:ind w:end="72"/>
              <w:rPr>
                <w:rFonts w:ascii="Helvetica;Arial" w:hAnsi="Helvetica;Arial" w:cs="Helvetica;Arial"/>
                <w:b/>
              </w:rPr>
            </w:pPr>
            <w:r>
              <w:rPr>
                <w:rFonts w:cs="Helvetica;Arial" w:ascii="Helvetica;Arial" w:hAnsi="Helvetica;Arial"/>
                <w:b/>
              </w:rPr>
              <w:t>781</w:t>
            </w:r>
          </w:p>
        </w:tc>
        <w:tc>
          <w:tcPr>
            <w:tcW w:w="3150" w:type="dxa"/>
            <w:tcBorders/>
          </w:tcPr>
          <w:p>
            <w:pPr>
              <w:pStyle w:val="Normal"/>
              <w:widowControl/>
              <w:ind w:hanging="18" w:end="0"/>
              <w:rPr>
                <w:rFonts w:ascii="Helvetica;Arial" w:hAnsi="Helvetica;Arial" w:cs="Helvetica;Arial"/>
                <w:b/>
              </w:rPr>
            </w:pPr>
            <w:r>
              <w:rPr>
                <w:rFonts w:cs="Helvetica;Arial" w:ascii="Helvetica;Arial" w:hAnsi="Helvetica;Arial"/>
                <w:b/>
              </w:rPr>
              <w:t>52-Wk Range</w:t>
            </w:r>
          </w:p>
        </w:tc>
        <w:tc>
          <w:tcPr>
            <w:tcW w:w="1620" w:type="dxa"/>
            <w:tcBorders/>
          </w:tcPr>
          <w:p>
            <w:pPr>
              <w:pStyle w:val="Normal"/>
              <w:widowControl/>
              <w:rPr>
                <w:rFonts w:ascii="Helvetica;Arial" w:hAnsi="Helvetica;Arial" w:cs="Helvetica;Arial"/>
                <w:b/>
              </w:rPr>
            </w:pPr>
            <w:r>
              <w:rPr>
                <w:rFonts w:cs="Helvetica;Arial" w:ascii="Helvetica;Arial" w:hAnsi="Helvetica;Arial"/>
                <w:b/>
              </w:rPr>
              <w:t>50-30</w:t>
            </w:r>
          </w:p>
        </w:tc>
      </w:tr>
      <w:tr>
        <w:trPr/>
        <w:tc>
          <w:tcPr>
            <w:tcW w:w="3888" w:type="dxa"/>
            <w:tcBorders/>
          </w:tcPr>
          <w:p>
            <w:pPr>
              <w:pStyle w:val="Normal"/>
              <w:widowControl/>
              <w:rPr>
                <w:rFonts w:ascii="Helvetica;Arial" w:hAnsi="Helvetica;Arial" w:cs="Helvetica;Arial"/>
                <w:b/>
              </w:rPr>
            </w:pPr>
            <w:r>
              <w:rPr>
                <w:rFonts w:cs="Helvetica;Arial" w:ascii="Helvetica;Arial" w:hAnsi="Helvetica;Arial"/>
                <w:b/>
              </w:rPr>
              <w:t>Proj. 5-yr. EPS Growth</w:t>
            </w:r>
          </w:p>
        </w:tc>
        <w:tc>
          <w:tcPr>
            <w:tcW w:w="1800" w:type="dxa"/>
            <w:tcBorders/>
          </w:tcPr>
          <w:p>
            <w:pPr>
              <w:pStyle w:val="Normal"/>
              <w:widowControl/>
              <w:ind w:end="72"/>
              <w:rPr>
                <w:rFonts w:ascii="Helvetica;Arial" w:hAnsi="Helvetica;Arial" w:cs="Helvetica;Arial"/>
                <w:b/>
              </w:rPr>
            </w:pPr>
            <w:r>
              <w:rPr>
                <w:rFonts w:cs="Helvetica;Arial" w:ascii="Helvetica;Arial" w:hAnsi="Helvetica;Arial"/>
                <w:b/>
              </w:rPr>
              <w:t>20%-25%</w:t>
            </w:r>
          </w:p>
        </w:tc>
        <w:tc>
          <w:tcPr>
            <w:tcW w:w="3150" w:type="dxa"/>
            <w:tcBorders/>
          </w:tcPr>
          <w:p>
            <w:pPr>
              <w:pStyle w:val="Normal"/>
              <w:widowControl/>
              <w:ind w:hanging="18" w:end="0"/>
              <w:rPr>
                <w:rFonts w:ascii="Helvetica;Arial" w:hAnsi="Helvetica;Arial" w:cs="Helvetica;Arial"/>
                <w:b/>
              </w:rPr>
            </w:pPr>
            <w:r>
              <w:rPr>
                <w:rFonts w:cs="Helvetica;Arial" w:ascii="Helvetica;Arial" w:hAnsi="Helvetica;Arial"/>
                <w:b/>
              </w:rPr>
              <w:t>Book Value (1999E)</w:t>
            </w:r>
          </w:p>
        </w:tc>
        <w:tc>
          <w:tcPr>
            <w:tcW w:w="1620" w:type="dxa"/>
            <w:tcBorders/>
          </w:tcPr>
          <w:p>
            <w:pPr>
              <w:pStyle w:val="Normal"/>
              <w:widowControl/>
              <w:rPr>
                <w:rFonts w:ascii="Helvetica;Arial" w:hAnsi="Helvetica;Arial" w:cs="Helvetica;Arial"/>
                <w:b/>
              </w:rPr>
            </w:pPr>
            <w:r>
              <w:rPr>
                <w:rFonts w:cs="Helvetica;Arial" w:ascii="Helvetica;Arial" w:hAnsi="Helvetica;Arial"/>
                <w:b/>
              </w:rPr>
              <w:t>$12.20</w:t>
            </w:r>
          </w:p>
        </w:tc>
      </w:tr>
      <w:tr>
        <w:trPr/>
        <w:tc>
          <w:tcPr>
            <w:tcW w:w="3888" w:type="dxa"/>
            <w:tcBorders>
              <w:bottom w:val="single" w:sz="6" w:space="0" w:color="000000"/>
            </w:tcBorders>
          </w:tcPr>
          <w:p>
            <w:pPr>
              <w:pStyle w:val="Normal"/>
              <w:widowControl/>
              <w:rPr>
                <w:rFonts w:ascii="Helvetica;Arial" w:hAnsi="Helvetica;Arial" w:cs="Helvetica;Arial"/>
                <w:b/>
              </w:rPr>
            </w:pPr>
            <w:r>
              <w:rPr>
                <w:rFonts w:cs="Helvetica;Arial" w:ascii="Helvetica;Arial" w:hAnsi="Helvetica;Arial"/>
                <w:b/>
              </w:rPr>
              <w:t>12-Month Target Price</w:t>
            </w:r>
          </w:p>
        </w:tc>
        <w:tc>
          <w:tcPr>
            <w:tcW w:w="1800" w:type="dxa"/>
            <w:tcBorders>
              <w:bottom w:val="single" w:sz="6" w:space="0" w:color="000000"/>
            </w:tcBorders>
          </w:tcPr>
          <w:p>
            <w:pPr>
              <w:pStyle w:val="Normal"/>
              <w:widowControl/>
              <w:ind w:end="72"/>
              <w:rPr>
                <w:rFonts w:ascii="Helvetica;Arial" w:hAnsi="Helvetica;Arial" w:cs="Helvetica;Arial"/>
                <w:b/>
              </w:rPr>
            </w:pPr>
            <w:r>
              <w:rPr>
                <w:rFonts w:cs="Helvetica;Arial" w:ascii="Helvetica;Arial" w:hAnsi="Helvetica;Arial"/>
                <w:b/>
              </w:rPr>
              <w:t>$100</w:t>
            </w:r>
          </w:p>
        </w:tc>
        <w:tc>
          <w:tcPr>
            <w:tcW w:w="3150" w:type="dxa"/>
            <w:tcBorders>
              <w:bottom w:val="single" w:sz="6" w:space="0" w:color="000000"/>
            </w:tcBorders>
          </w:tcPr>
          <w:p>
            <w:pPr>
              <w:pStyle w:val="Normal"/>
              <w:widowControl/>
              <w:ind w:hanging="18" w:end="0"/>
              <w:rPr>
                <w:rFonts w:ascii="Helvetica;Arial" w:hAnsi="Helvetica;Arial" w:cs="Helvetica;Arial"/>
                <w:b/>
              </w:rPr>
            </w:pPr>
            <w:r>
              <w:rPr>
                <w:rFonts w:cs="Helvetica;Arial" w:ascii="Helvetica;Arial" w:hAnsi="Helvetica;Arial"/>
                <w:b/>
              </w:rPr>
              <w:t>Fiscal Year</w:t>
            </w:r>
          </w:p>
        </w:tc>
        <w:tc>
          <w:tcPr>
            <w:tcW w:w="1620" w:type="dxa"/>
            <w:tcBorders>
              <w:bottom w:val="single" w:sz="6" w:space="0" w:color="000000"/>
            </w:tcBorders>
          </w:tcPr>
          <w:p>
            <w:pPr>
              <w:pStyle w:val="Normal"/>
              <w:widowControl/>
              <w:rPr>
                <w:rFonts w:ascii="Helvetica;Arial" w:hAnsi="Helvetica;Arial" w:cs="Helvetica;Arial"/>
                <w:b/>
              </w:rPr>
            </w:pPr>
            <w:r>
              <w:rPr>
                <w:rFonts w:cs="Helvetica;Arial" w:ascii="Helvetica;Arial" w:hAnsi="Helvetica;Arial"/>
                <w:b/>
              </w:rPr>
              <w:t>Dec.</w:t>
            </w:r>
          </w:p>
        </w:tc>
      </w:tr>
    </w:tbl>
    <w:p>
      <w:pPr>
        <w:pStyle w:val="Normal"/>
        <w:widowControl/>
        <w:rPr>
          <w:rFonts w:ascii="Helvetica;Arial" w:hAnsi="Helvetica;Arial" w:cs="Helvetica;Arial"/>
          <w:sz w:val="4"/>
        </w:rPr>
      </w:pPr>
      <w:r>
        <w:rPr>
          <w:rFonts w:cs="Helvetica;Arial" w:ascii="Helvetica;Arial" w:hAnsi="Helvetica;Arial"/>
          <w:sz w:val="4"/>
        </w:rPr>
      </w:r>
    </w:p>
    <w:tbl>
      <w:tblPr>
        <w:tblW w:w="11520" w:type="dxa"/>
        <w:jc w:val="start"/>
        <w:tblInd w:w="0" w:type="dxa"/>
        <w:tblLayout w:type="fixed"/>
        <w:tblCellMar>
          <w:top w:w="0" w:type="dxa"/>
          <w:start w:w="108" w:type="dxa"/>
          <w:bottom w:w="0" w:type="dxa"/>
          <w:end w:w="108" w:type="dxa"/>
        </w:tblCellMar>
      </w:tblPr>
      <w:tblGrid>
        <w:gridCol w:w="828"/>
        <w:gridCol w:w="612"/>
        <w:gridCol w:w="1188"/>
        <w:gridCol w:w="360"/>
        <w:gridCol w:w="468"/>
        <w:gridCol w:w="2016"/>
        <w:gridCol w:w="760"/>
        <w:gridCol w:w="900"/>
        <w:gridCol w:w="356"/>
        <w:gridCol w:w="2016"/>
        <w:gridCol w:w="958"/>
        <w:gridCol w:w="1058"/>
      </w:tblGrid>
      <w:tr>
        <w:trPr/>
        <w:tc>
          <w:tcPr>
            <w:tcW w:w="828" w:type="dxa"/>
            <w:tcBorders>
              <w:top w:val="single" w:sz="6" w:space="0" w:color="000000"/>
            </w:tcBorders>
          </w:tcPr>
          <w:p>
            <w:pPr>
              <w:pStyle w:val="Normal"/>
              <w:widowControl/>
              <w:snapToGrid w:val="false"/>
              <w:rPr>
                <w:rFonts w:ascii="Helvetica;Arial" w:hAnsi="Helvetica;Arial" w:cs="Helvetica;Arial"/>
                <w:b/>
              </w:rPr>
            </w:pPr>
            <w:r>
              <w:rPr>
                <w:rFonts w:cs="Helvetica;Arial" w:ascii="Helvetica;Arial" w:hAnsi="Helvetica;Arial"/>
                <w:b/>
              </w:rPr>
            </w:r>
          </w:p>
        </w:tc>
        <w:tc>
          <w:tcPr>
            <w:tcW w:w="1800" w:type="dxa"/>
            <w:gridSpan w:val="2"/>
            <w:tcBorders>
              <w:top w:val="single" w:sz="6" w:space="0" w:color="000000"/>
            </w:tcBorders>
          </w:tcPr>
          <w:p>
            <w:pPr>
              <w:pStyle w:val="Normal"/>
              <w:widowControl/>
              <w:snapToGrid w:val="false"/>
              <w:rPr>
                <w:rFonts w:ascii="Helvetica;Arial" w:hAnsi="Helvetica;Arial" w:cs="Helvetica;Arial"/>
                <w:b/>
                <w:u w:val="single"/>
              </w:rPr>
            </w:pPr>
            <w:r>
              <w:rPr>
                <w:rFonts w:cs="Helvetica;Arial" w:ascii="Helvetica;Arial" w:hAnsi="Helvetica;Arial"/>
                <w:b/>
                <w:u w:val="single"/>
              </w:rPr>
            </w:r>
          </w:p>
        </w:tc>
        <w:tc>
          <w:tcPr>
            <w:tcW w:w="360" w:type="dxa"/>
            <w:tcBorders>
              <w:top w:val="single" w:sz="6" w:space="0" w:color="000000"/>
            </w:tcBorders>
          </w:tcPr>
          <w:p>
            <w:pPr>
              <w:pStyle w:val="Normal"/>
              <w:widowControl/>
              <w:snapToGrid w:val="false"/>
              <w:jc w:val="center"/>
              <w:rPr>
                <w:rFonts w:ascii="Helvetica;Arial" w:hAnsi="Helvetica;Arial" w:cs="Helvetica;Arial"/>
                <w:b/>
                <w:u w:val="single"/>
              </w:rPr>
            </w:pPr>
            <w:r>
              <w:rPr>
                <w:rFonts w:cs="Helvetica;Arial" w:ascii="Helvetica;Arial" w:hAnsi="Helvetica;Arial"/>
                <w:b/>
                <w:u w:val="single"/>
              </w:rPr>
            </w:r>
          </w:p>
        </w:tc>
        <w:tc>
          <w:tcPr>
            <w:tcW w:w="3244" w:type="dxa"/>
            <w:gridSpan w:val="3"/>
            <w:tcBorders>
              <w:top w:val="single" w:sz="6" w:space="0" w:color="000000"/>
              <w:bottom w:val="single" w:sz="6" w:space="0" w:color="000000"/>
            </w:tcBorders>
          </w:tcPr>
          <w:p>
            <w:pPr>
              <w:pStyle w:val="Normal"/>
              <w:widowControl/>
              <w:ind w:start="-108" w:end="0"/>
              <w:jc w:val="center"/>
              <w:rPr>
                <w:rFonts w:ascii="Helvetica;Arial" w:hAnsi="Helvetica;Arial" w:cs="Helvetica;Arial"/>
                <w:b/>
                <w:u w:val="single"/>
              </w:rPr>
            </w:pPr>
            <w:r>
              <w:rPr>
                <w:rFonts w:cs="Helvetica;Arial" w:ascii="Helvetica;Arial" w:hAnsi="Helvetica;Arial"/>
                <w:b/>
              </w:rPr>
              <w:t>2000E</w:t>
            </w:r>
          </w:p>
        </w:tc>
        <w:tc>
          <w:tcPr>
            <w:tcW w:w="900" w:type="dxa"/>
            <w:tcBorders>
              <w:top w:val="single" w:sz="6" w:space="0" w:color="000000"/>
            </w:tcBorders>
          </w:tcPr>
          <w:p>
            <w:pPr>
              <w:pStyle w:val="Normal"/>
              <w:widowControl/>
              <w:snapToGrid w:val="false"/>
              <w:ind w:hanging="42" w:start="42" w:end="0"/>
              <w:jc w:val="center"/>
              <w:rPr>
                <w:rFonts w:ascii="Helvetica;Arial" w:hAnsi="Helvetica;Arial" w:cs="Helvetica;Arial"/>
                <w:b/>
                <w:u w:val="single"/>
              </w:rPr>
            </w:pPr>
            <w:r>
              <w:rPr>
                <w:rFonts w:cs="Helvetica;Arial" w:ascii="Helvetica;Arial" w:hAnsi="Helvetica;Arial"/>
                <w:b/>
                <w:u w:val="single"/>
              </w:rPr>
            </w:r>
          </w:p>
        </w:tc>
        <w:tc>
          <w:tcPr>
            <w:tcW w:w="3330" w:type="dxa"/>
            <w:gridSpan w:val="3"/>
            <w:tcBorders>
              <w:top w:val="single" w:sz="6" w:space="0" w:color="000000"/>
              <w:bottom w:val="single" w:sz="6" w:space="0" w:color="000000"/>
            </w:tcBorders>
          </w:tcPr>
          <w:p>
            <w:pPr>
              <w:pStyle w:val="Normal"/>
              <w:widowControl/>
              <w:ind w:start="-96" w:end="0"/>
              <w:jc w:val="center"/>
              <w:rPr>
                <w:rFonts w:ascii="Helvetica;Arial" w:hAnsi="Helvetica;Arial" w:cs="Helvetica;Arial"/>
                <w:b/>
                <w:u w:val="single"/>
              </w:rPr>
            </w:pPr>
            <w:r>
              <w:rPr>
                <w:rFonts w:cs="Helvetica;Arial" w:ascii="Helvetica;Arial" w:hAnsi="Helvetica;Arial"/>
                <w:b/>
              </w:rPr>
              <w:t>2001E</w:t>
            </w:r>
          </w:p>
        </w:tc>
        <w:tc>
          <w:tcPr>
            <w:tcW w:w="1058" w:type="dxa"/>
            <w:tcBorders/>
            <w:tcMar>
              <w:start w:w="0" w:type="dxa"/>
              <w:end w:w="0" w:type="dxa"/>
            </w:tcMar>
          </w:tcPr>
          <w:p>
            <w:pPr>
              <w:pStyle w:val="Normal"/>
              <w:snapToGrid w:val="false"/>
              <w:rPr>
                <w:rFonts w:ascii="Helvetica;Arial" w:hAnsi="Helvetica;Arial" w:cs="Helvetica;Arial"/>
                <w:b/>
                <w:u w:val="single"/>
              </w:rPr>
            </w:pPr>
            <w:r>
              <w:rPr>
                <w:rFonts w:cs="Helvetica;Arial" w:ascii="Helvetica;Arial" w:hAnsi="Helvetica;Arial"/>
                <w:b/>
                <w:u w:val="single"/>
              </w:rPr>
            </w:r>
          </w:p>
        </w:tc>
      </w:tr>
      <w:tr>
        <w:trPr/>
        <w:tc>
          <w:tcPr>
            <w:tcW w:w="1440" w:type="dxa"/>
            <w:gridSpan w:val="2"/>
            <w:tcBorders/>
          </w:tcPr>
          <w:p>
            <w:pPr>
              <w:pStyle w:val="Normal"/>
              <w:widowControl/>
              <w:snapToGrid w:val="false"/>
              <w:jc w:val="center"/>
              <w:rPr>
                <w:rFonts w:ascii="Helvetica;Arial" w:hAnsi="Helvetica;Arial" w:cs="Helvetica;Arial"/>
                <w:b/>
              </w:rPr>
            </w:pPr>
            <w:r>
              <w:rPr>
                <w:rFonts w:cs="Helvetica;Arial" w:ascii="Helvetica;Arial" w:hAnsi="Helvetica;Arial"/>
                <w:b/>
              </w:rPr>
            </w:r>
          </w:p>
        </w:tc>
        <w:tc>
          <w:tcPr>
            <w:tcW w:w="2016" w:type="dxa"/>
            <w:gridSpan w:val="3"/>
            <w:tcBorders/>
          </w:tcPr>
          <w:p>
            <w:pPr>
              <w:pStyle w:val="Normal"/>
              <w:widowControl/>
              <w:rPr>
                <w:rFonts w:ascii="Helvetica;Arial" w:hAnsi="Helvetica;Arial" w:cs="Helvetica;Arial"/>
                <w:b/>
              </w:rPr>
            </w:pPr>
            <w:r>
              <w:rPr>
                <w:rFonts w:cs="Helvetica;Arial" w:ascii="Helvetica;Arial" w:hAnsi="Helvetica;Arial"/>
                <w:b/>
                <w:u w:val="single"/>
              </w:rPr>
              <w:t>1999</w:t>
            </w:r>
          </w:p>
        </w:tc>
        <w:tc>
          <w:tcPr>
            <w:tcW w:w="2016" w:type="dxa"/>
            <w:tcBorders/>
          </w:tcPr>
          <w:p>
            <w:pPr>
              <w:pStyle w:val="Normal"/>
              <w:widowControl/>
              <w:tabs>
                <w:tab w:val="clear" w:pos="720"/>
                <w:tab w:val="decimal" w:pos="518" w:leader="none"/>
              </w:tabs>
              <w:rPr>
                <w:rFonts w:ascii="Helvetica;Arial" w:hAnsi="Helvetica;Arial" w:cs="Helvetica;Arial"/>
                <w:b/>
              </w:rPr>
            </w:pPr>
            <w:r>
              <w:rPr>
                <w:rFonts w:cs="Helvetica;Arial" w:ascii="Helvetica;Arial" w:hAnsi="Helvetica;Arial"/>
                <w:b/>
              </w:rPr>
              <w:t>OLD</w:t>
            </w:r>
          </w:p>
        </w:tc>
        <w:tc>
          <w:tcPr>
            <w:tcW w:w="2016" w:type="dxa"/>
            <w:gridSpan w:val="3"/>
            <w:tcBorders/>
          </w:tcPr>
          <w:p>
            <w:pPr>
              <w:pStyle w:val="Normal"/>
              <w:widowControl/>
              <w:tabs>
                <w:tab w:val="clear" w:pos="720"/>
                <w:tab w:val="decimal" w:pos="334" w:leader="none"/>
              </w:tabs>
              <w:rPr>
                <w:rFonts w:ascii="Helvetica;Arial" w:hAnsi="Helvetica;Arial" w:cs="Helvetica;Arial"/>
                <w:b/>
              </w:rPr>
            </w:pPr>
            <w:r>
              <w:rPr>
                <w:rFonts w:cs="Helvetica;Arial" w:ascii="Helvetica;Arial" w:hAnsi="Helvetica;Arial"/>
                <w:b/>
              </w:rPr>
              <w:t>NEW</w:t>
            </w:r>
          </w:p>
        </w:tc>
        <w:tc>
          <w:tcPr>
            <w:tcW w:w="2016" w:type="dxa"/>
            <w:tcBorders/>
          </w:tcPr>
          <w:p>
            <w:pPr>
              <w:pStyle w:val="Normal"/>
              <w:widowControl/>
              <w:tabs>
                <w:tab w:val="clear" w:pos="720"/>
                <w:tab w:val="decimal" w:pos="420" w:leader="none"/>
              </w:tabs>
              <w:rPr>
                <w:rFonts w:ascii="Helvetica;Arial" w:hAnsi="Helvetica;Arial" w:cs="Helvetica;Arial"/>
                <w:b/>
              </w:rPr>
            </w:pPr>
            <w:r>
              <w:rPr>
                <w:rFonts w:cs="Helvetica;Arial" w:ascii="Helvetica;Arial" w:hAnsi="Helvetica;Arial"/>
                <w:b/>
              </w:rPr>
              <w:t>OLD</w:t>
            </w:r>
          </w:p>
        </w:tc>
        <w:tc>
          <w:tcPr>
            <w:tcW w:w="2016" w:type="dxa"/>
            <w:gridSpan w:val="2"/>
            <w:tcBorders/>
          </w:tcPr>
          <w:p>
            <w:pPr>
              <w:pStyle w:val="Normal"/>
              <w:widowControl/>
              <w:tabs>
                <w:tab w:val="clear" w:pos="720"/>
                <w:tab w:val="decimal" w:pos="326" w:leader="none"/>
              </w:tabs>
              <w:rPr>
                <w:rFonts w:ascii="Helvetica;Arial" w:hAnsi="Helvetica;Arial" w:cs="Helvetica;Arial"/>
                <w:b/>
              </w:rPr>
            </w:pPr>
            <w:r>
              <w:rPr>
                <w:rFonts w:cs="Helvetica;Arial" w:ascii="Helvetica;Arial" w:hAnsi="Helvetica;Arial"/>
                <w:b/>
              </w:rPr>
              <w:t>NEW</w:t>
            </w:r>
          </w:p>
        </w:tc>
      </w:tr>
      <w:tr>
        <w:trPr/>
        <w:tc>
          <w:tcPr>
            <w:tcW w:w="1440" w:type="dxa"/>
            <w:gridSpan w:val="2"/>
            <w:tcBorders/>
          </w:tcPr>
          <w:p>
            <w:pPr>
              <w:pStyle w:val="Normal"/>
              <w:widowControl/>
              <w:rPr>
                <w:rFonts w:ascii="Helvetica;Arial" w:hAnsi="Helvetica;Arial" w:cs="Helvetica;Arial"/>
              </w:rPr>
            </w:pPr>
            <w:r>
              <w:rPr>
                <w:rFonts w:cs="Helvetica;Arial" w:ascii="Helvetica;Arial" w:hAnsi="Helvetica;Arial"/>
              </w:rPr>
              <w:t>1Q</w:t>
            </w:r>
          </w:p>
        </w:tc>
        <w:tc>
          <w:tcPr>
            <w:tcW w:w="2016" w:type="dxa"/>
            <w:gridSpan w:val="3"/>
            <w:tcBorders/>
          </w:tcPr>
          <w:p>
            <w:pPr>
              <w:pStyle w:val="Normal"/>
              <w:widowControl/>
              <w:rPr>
                <w:rFonts w:ascii="Helvetica;Arial" w:hAnsi="Helvetica;Arial" w:cs="Helvetica;Arial"/>
              </w:rPr>
            </w:pPr>
            <w:r>
              <w:rPr>
                <w:rFonts w:cs="Helvetica;Arial" w:ascii="Helvetica;Arial" w:hAnsi="Helvetica;Arial"/>
              </w:rPr>
              <w:t>$0.34</w:t>
            </w:r>
          </w:p>
        </w:tc>
        <w:tc>
          <w:tcPr>
            <w:tcW w:w="2016" w:type="dxa"/>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gridSpan w:val="3"/>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gridSpan w:val="2"/>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r>
      <w:tr>
        <w:trPr/>
        <w:tc>
          <w:tcPr>
            <w:tcW w:w="1440" w:type="dxa"/>
            <w:gridSpan w:val="2"/>
            <w:tcBorders/>
          </w:tcPr>
          <w:p>
            <w:pPr>
              <w:pStyle w:val="Normal"/>
              <w:widowControl/>
              <w:rPr>
                <w:rFonts w:ascii="Helvetica;Arial" w:hAnsi="Helvetica;Arial" w:cs="Helvetica;Arial"/>
              </w:rPr>
            </w:pPr>
            <w:r>
              <w:rPr>
                <w:rFonts w:cs="Helvetica;Arial" w:ascii="Helvetica;Arial" w:hAnsi="Helvetica;Arial"/>
              </w:rPr>
              <w:t>2Q</w:t>
            </w:r>
          </w:p>
        </w:tc>
        <w:tc>
          <w:tcPr>
            <w:tcW w:w="2016" w:type="dxa"/>
            <w:gridSpan w:val="3"/>
            <w:tcBorders/>
          </w:tcPr>
          <w:p>
            <w:pPr>
              <w:pStyle w:val="Normal"/>
              <w:widowControl/>
              <w:rPr>
                <w:rFonts w:ascii="Helvetica;Arial" w:hAnsi="Helvetica;Arial" w:cs="Helvetica;Arial"/>
              </w:rPr>
            </w:pPr>
            <w:r>
              <w:rPr>
                <w:rFonts w:cs="Helvetica;Arial" w:ascii="Helvetica;Arial" w:hAnsi="Helvetica;Arial"/>
              </w:rPr>
              <w:t>$0.27</w:t>
            </w:r>
          </w:p>
        </w:tc>
        <w:tc>
          <w:tcPr>
            <w:tcW w:w="2016" w:type="dxa"/>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gridSpan w:val="3"/>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gridSpan w:val="2"/>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r>
      <w:tr>
        <w:trPr/>
        <w:tc>
          <w:tcPr>
            <w:tcW w:w="1440" w:type="dxa"/>
            <w:gridSpan w:val="2"/>
            <w:tcBorders/>
          </w:tcPr>
          <w:p>
            <w:pPr>
              <w:pStyle w:val="Normal"/>
              <w:widowControl/>
              <w:rPr>
                <w:rFonts w:ascii="Helvetica;Arial" w:hAnsi="Helvetica;Arial" w:cs="Helvetica;Arial"/>
              </w:rPr>
            </w:pPr>
            <w:r>
              <w:rPr>
                <w:rFonts w:cs="Helvetica;Arial" w:ascii="Helvetica;Arial" w:hAnsi="Helvetica;Arial"/>
              </w:rPr>
              <w:t>3Q</w:t>
            </w:r>
          </w:p>
        </w:tc>
        <w:tc>
          <w:tcPr>
            <w:tcW w:w="2016" w:type="dxa"/>
            <w:gridSpan w:val="3"/>
            <w:tcBorders/>
          </w:tcPr>
          <w:p>
            <w:pPr>
              <w:pStyle w:val="Normal"/>
              <w:widowControl/>
              <w:rPr>
                <w:rFonts w:ascii="Helvetica;Arial" w:hAnsi="Helvetica;Arial" w:cs="Helvetica;Arial"/>
              </w:rPr>
            </w:pPr>
            <w:r>
              <w:rPr>
                <w:rFonts w:cs="Helvetica;Arial" w:ascii="Helvetica;Arial" w:hAnsi="Helvetica;Arial"/>
              </w:rPr>
              <w:t>$0.27</w:t>
            </w:r>
          </w:p>
        </w:tc>
        <w:tc>
          <w:tcPr>
            <w:tcW w:w="2016" w:type="dxa"/>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gridSpan w:val="3"/>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gridSpan w:val="2"/>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r>
      <w:tr>
        <w:trPr/>
        <w:tc>
          <w:tcPr>
            <w:tcW w:w="1440" w:type="dxa"/>
            <w:gridSpan w:val="2"/>
            <w:tcBorders/>
          </w:tcPr>
          <w:p>
            <w:pPr>
              <w:pStyle w:val="Normal"/>
              <w:widowControl/>
              <w:rPr>
                <w:rFonts w:ascii="Helvetica;Arial" w:hAnsi="Helvetica;Arial" w:cs="Helvetica;Arial"/>
              </w:rPr>
            </w:pPr>
            <w:r>
              <w:rPr>
                <w:rFonts w:cs="Helvetica;Arial" w:ascii="Helvetica;Arial" w:hAnsi="Helvetica;Arial"/>
              </w:rPr>
              <w:t>4Q</w:t>
            </w:r>
          </w:p>
        </w:tc>
        <w:tc>
          <w:tcPr>
            <w:tcW w:w="2016" w:type="dxa"/>
            <w:gridSpan w:val="3"/>
            <w:tcBorders/>
          </w:tcPr>
          <w:p>
            <w:pPr>
              <w:pStyle w:val="Normal"/>
              <w:widowControl/>
              <w:rPr>
                <w:rFonts w:ascii="Helvetica;Arial" w:hAnsi="Helvetica;Arial" w:cs="Helvetica;Arial"/>
                <w:u w:val="single"/>
              </w:rPr>
            </w:pPr>
            <w:r>
              <w:rPr>
                <w:rFonts w:cs="Helvetica;Arial" w:ascii="Helvetica;Arial" w:hAnsi="Helvetica;Arial"/>
                <w:u w:val="single"/>
              </w:rPr>
              <w:t>$0.31</w:t>
            </w:r>
          </w:p>
        </w:tc>
        <w:tc>
          <w:tcPr>
            <w:tcW w:w="2016" w:type="dxa"/>
            <w:tcBorders/>
          </w:tcPr>
          <w:p>
            <w:pPr>
              <w:pStyle w:val="Normal"/>
              <w:widowControl/>
              <w:tabs>
                <w:tab w:val="clear" w:pos="720"/>
                <w:tab w:val="decimal" w:pos="306" w:leader="none"/>
                <w:tab w:val="left" w:pos="468" w:leader="none"/>
              </w:tabs>
              <w:rPr>
                <w:rFonts w:ascii="Helvetica;Arial" w:hAnsi="Helvetica;Arial" w:cs="Helvetica;Arial"/>
                <w:u w:val="single"/>
              </w:rPr>
            </w:pPr>
            <w:r>
              <w:rPr>
                <w:rFonts w:cs="Helvetica;Arial" w:ascii="Helvetica;Arial" w:hAnsi="Helvetica;Arial"/>
                <w:u w:val="single"/>
              </w:rPr>
              <w:tab/>
              <w:t>-</w:t>
              <w:tab/>
            </w:r>
          </w:p>
        </w:tc>
        <w:tc>
          <w:tcPr>
            <w:tcW w:w="2016" w:type="dxa"/>
            <w:gridSpan w:val="3"/>
            <w:tcBorders/>
          </w:tcPr>
          <w:p>
            <w:pPr>
              <w:pStyle w:val="Normal"/>
              <w:widowControl/>
              <w:tabs>
                <w:tab w:val="clear" w:pos="720"/>
                <w:tab w:val="decimal" w:pos="306" w:leader="none"/>
                <w:tab w:val="left" w:pos="468" w:leader="none"/>
              </w:tabs>
              <w:rPr>
                <w:rFonts w:ascii="Helvetica;Arial" w:hAnsi="Helvetica;Arial" w:cs="Helvetica;Arial"/>
                <w:u w:val="single"/>
              </w:rPr>
            </w:pPr>
            <w:r>
              <w:rPr>
                <w:rFonts w:cs="Helvetica;Arial" w:ascii="Helvetica;Arial" w:hAnsi="Helvetica;Arial"/>
                <w:u w:val="single"/>
              </w:rPr>
              <w:tab/>
              <w:t>-</w:t>
              <w:tab/>
            </w:r>
          </w:p>
        </w:tc>
        <w:tc>
          <w:tcPr>
            <w:tcW w:w="2016" w:type="dxa"/>
            <w:tcBorders/>
          </w:tcPr>
          <w:p>
            <w:pPr>
              <w:pStyle w:val="Normal"/>
              <w:widowControl/>
              <w:tabs>
                <w:tab w:val="clear" w:pos="720"/>
                <w:tab w:val="decimal" w:pos="306" w:leader="none"/>
                <w:tab w:val="left" w:pos="468" w:leader="none"/>
              </w:tabs>
              <w:rPr>
                <w:rFonts w:ascii="Helvetica;Arial" w:hAnsi="Helvetica;Arial" w:cs="Helvetica;Arial"/>
                <w:u w:val="single"/>
              </w:rPr>
            </w:pPr>
            <w:r>
              <w:rPr>
                <w:rFonts w:cs="Helvetica;Arial" w:ascii="Helvetica;Arial" w:hAnsi="Helvetica;Arial"/>
                <w:u w:val="single"/>
              </w:rPr>
              <w:tab/>
              <w:t>-</w:t>
              <w:tab/>
            </w:r>
          </w:p>
        </w:tc>
        <w:tc>
          <w:tcPr>
            <w:tcW w:w="2016" w:type="dxa"/>
            <w:gridSpan w:val="2"/>
            <w:tcBorders/>
          </w:tcPr>
          <w:p>
            <w:pPr>
              <w:pStyle w:val="Normal"/>
              <w:widowControl/>
              <w:tabs>
                <w:tab w:val="clear" w:pos="720"/>
                <w:tab w:val="decimal" w:pos="306" w:leader="none"/>
                <w:tab w:val="left" w:pos="468" w:leader="none"/>
              </w:tabs>
              <w:rPr>
                <w:rFonts w:ascii="Helvetica;Arial" w:hAnsi="Helvetica;Arial" w:cs="Helvetica;Arial"/>
                <w:u w:val="single"/>
              </w:rPr>
            </w:pPr>
            <w:r>
              <w:rPr>
                <w:rFonts w:cs="Helvetica;Arial" w:ascii="Helvetica;Arial" w:hAnsi="Helvetica;Arial"/>
                <w:u w:val="single"/>
              </w:rPr>
              <w:tab/>
              <w:t>-</w:t>
              <w:tab/>
            </w:r>
          </w:p>
        </w:tc>
      </w:tr>
      <w:tr>
        <w:trPr/>
        <w:tc>
          <w:tcPr>
            <w:tcW w:w="1440" w:type="dxa"/>
            <w:gridSpan w:val="2"/>
            <w:tcBorders/>
          </w:tcPr>
          <w:p>
            <w:pPr>
              <w:pStyle w:val="Normal"/>
              <w:widowControl/>
              <w:rPr>
                <w:rFonts w:ascii="Helvetica;Arial" w:hAnsi="Helvetica;Arial" w:cs="Helvetica;Arial"/>
              </w:rPr>
            </w:pPr>
            <w:r>
              <w:rPr>
                <w:rFonts w:cs="Helvetica;Arial" w:ascii="Helvetica;Arial" w:hAnsi="Helvetica;Arial"/>
                <w:b/>
              </w:rPr>
              <w:t>Year</w:t>
            </w:r>
          </w:p>
        </w:tc>
        <w:tc>
          <w:tcPr>
            <w:tcW w:w="2016" w:type="dxa"/>
            <w:gridSpan w:val="3"/>
            <w:tcBorders/>
          </w:tcPr>
          <w:p>
            <w:pPr>
              <w:pStyle w:val="Normal"/>
              <w:widowControl/>
              <w:rPr>
                <w:rFonts w:ascii="Helvetica;Arial" w:hAnsi="Helvetica;Arial" w:cs="Helvetica;Arial"/>
                <w:b/>
              </w:rPr>
            </w:pPr>
            <w:r>
              <w:rPr>
                <w:rFonts w:cs="Helvetica;Arial" w:ascii="Helvetica;Arial" w:hAnsi="Helvetica;Arial"/>
                <w:b/>
              </w:rPr>
              <w:t>$1.19</w:t>
            </w:r>
          </w:p>
        </w:tc>
        <w:tc>
          <w:tcPr>
            <w:tcW w:w="2016" w:type="dxa"/>
            <w:tcBorders/>
          </w:tcPr>
          <w:p>
            <w:pPr>
              <w:pStyle w:val="Normal"/>
              <w:widowControl/>
              <w:rPr>
                <w:rFonts w:ascii="Helvetica;Arial" w:hAnsi="Helvetica;Arial" w:cs="Helvetica;Arial"/>
                <w:b/>
              </w:rPr>
            </w:pPr>
            <w:r>
              <w:rPr>
                <w:rFonts w:cs="Helvetica;Arial" w:ascii="Helvetica;Arial" w:hAnsi="Helvetica;Arial"/>
                <w:b/>
              </w:rPr>
              <w:t>$1.45</w:t>
            </w:r>
          </w:p>
        </w:tc>
        <w:tc>
          <w:tcPr>
            <w:tcW w:w="2016" w:type="dxa"/>
            <w:gridSpan w:val="3"/>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c>
          <w:tcPr>
            <w:tcW w:w="2016" w:type="dxa"/>
            <w:tcBorders/>
          </w:tcPr>
          <w:p>
            <w:pPr>
              <w:pStyle w:val="Normal"/>
              <w:widowControl/>
              <w:rPr/>
            </w:pPr>
            <w:r>
              <w:rPr>
                <w:rFonts w:cs="Helvetica;Arial" w:ascii="Helvetica;Arial" w:hAnsi="Helvetica;Arial"/>
                <w:b/>
              </w:rPr>
              <w:t>$1.75</w:t>
            </w:r>
          </w:p>
        </w:tc>
        <w:tc>
          <w:tcPr>
            <w:tcW w:w="2016" w:type="dxa"/>
            <w:gridSpan w:val="2"/>
            <w:tcBorders/>
          </w:tcPr>
          <w:p>
            <w:pPr>
              <w:pStyle w:val="Normal"/>
              <w:widowControl/>
              <w:tabs>
                <w:tab w:val="clear" w:pos="720"/>
                <w:tab w:val="decimal" w:pos="306" w:leader="none"/>
              </w:tabs>
              <w:rPr>
                <w:rFonts w:ascii="Helvetica;Arial" w:hAnsi="Helvetica;Arial" w:cs="Helvetica;Arial"/>
              </w:rPr>
            </w:pPr>
            <w:r>
              <w:rPr>
                <w:rFonts w:cs="Helvetica;Arial" w:ascii="Helvetica;Arial" w:hAnsi="Helvetica;Arial"/>
              </w:rPr>
              <w:t>-</w:t>
            </w:r>
          </w:p>
        </w:tc>
      </w:tr>
      <w:tr>
        <w:trPr/>
        <w:tc>
          <w:tcPr>
            <w:tcW w:w="1440" w:type="dxa"/>
            <w:gridSpan w:val="2"/>
            <w:tcBorders/>
          </w:tcPr>
          <w:p>
            <w:pPr>
              <w:pStyle w:val="Normal"/>
              <w:widowControl/>
              <w:rPr>
                <w:rFonts w:ascii="Helvetica;Arial" w:hAnsi="Helvetica;Arial" w:cs="Helvetica;Arial"/>
                <w:b/>
              </w:rPr>
            </w:pPr>
            <w:r>
              <w:rPr>
                <w:rFonts w:cs="Helvetica;Arial" w:ascii="Helvetica;Arial" w:hAnsi="Helvetica;Arial"/>
                <w:b/>
              </w:rPr>
              <w:t>P/E</w:t>
            </w:r>
          </w:p>
        </w:tc>
        <w:tc>
          <w:tcPr>
            <w:tcW w:w="2016" w:type="dxa"/>
            <w:gridSpan w:val="3"/>
            <w:tcBorders/>
          </w:tcPr>
          <w:p>
            <w:pPr>
              <w:pStyle w:val="Normal"/>
              <w:widowControl/>
              <w:tabs>
                <w:tab w:val="clear" w:pos="720"/>
                <w:tab w:val="decimal" w:pos="306" w:leader="none"/>
              </w:tabs>
              <w:rPr>
                <w:rFonts w:ascii="Helvetica;Arial" w:hAnsi="Helvetica;Arial" w:cs="Helvetica;Arial"/>
                <w:b/>
              </w:rPr>
            </w:pPr>
            <w:r>
              <w:rPr>
                <w:rFonts w:cs="Helvetica;Arial" w:ascii="Helvetica;Arial" w:hAnsi="Helvetica;Arial"/>
                <w:b/>
              </w:rPr>
              <w:t>-</w:t>
            </w:r>
          </w:p>
        </w:tc>
        <w:tc>
          <w:tcPr>
            <w:tcW w:w="2016" w:type="dxa"/>
            <w:tcBorders/>
          </w:tcPr>
          <w:p>
            <w:pPr>
              <w:pStyle w:val="Normal"/>
              <w:widowControl/>
              <w:tabs>
                <w:tab w:val="clear" w:pos="720"/>
                <w:tab w:val="decimal" w:pos="306" w:leader="none"/>
              </w:tabs>
              <w:rPr>
                <w:rFonts w:ascii="Helvetica;Arial" w:hAnsi="Helvetica;Arial" w:cs="Helvetica;Arial"/>
                <w:b/>
              </w:rPr>
            </w:pPr>
            <w:r>
              <w:rPr>
                <w:rFonts w:cs="Helvetica;Arial" w:ascii="Helvetica;Arial" w:hAnsi="Helvetica;Arial"/>
                <w:b/>
              </w:rPr>
              <w:t>46.5x</w:t>
            </w:r>
          </w:p>
        </w:tc>
        <w:tc>
          <w:tcPr>
            <w:tcW w:w="2016" w:type="dxa"/>
            <w:gridSpan w:val="3"/>
            <w:tcBorders/>
          </w:tcPr>
          <w:p>
            <w:pPr>
              <w:pStyle w:val="Normal"/>
              <w:widowControl/>
              <w:tabs>
                <w:tab w:val="clear" w:pos="720"/>
                <w:tab w:val="decimal" w:pos="306" w:leader="none"/>
              </w:tabs>
              <w:rPr>
                <w:rFonts w:ascii="Helvetica;Arial" w:hAnsi="Helvetica;Arial" w:cs="Helvetica;Arial"/>
                <w:b/>
              </w:rPr>
            </w:pPr>
            <w:r>
              <w:rPr>
                <w:rFonts w:cs="Helvetica;Arial" w:ascii="Helvetica;Arial" w:hAnsi="Helvetica;Arial"/>
                <w:b/>
              </w:rPr>
              <w:t>-</w:t>
            </w:r>
          </w:p>
        </w:tc>
        <w:tc>
          <w:tcPr>
            <w:tcW w:w="2016" w:type="dxa"/>
            <w:tcBorders/>
          </w:tcPr>
          <w:p>
            <w:pPr>
              <w:pStyle w:val="Normal"/>
              <w:widowControl/>
              <w:tabs>
                <w:tab w:val="clear" w:pos="720"/>
                <w:tab w:val="decimal" w:pos="306" w:leader="none"/>
              </w:tabs>
              <w:rPr>
                <w:rFonts w:ascii="Helvetica;Arial" w:hAnsi="Helvetica;Arial" w:cs="Helvetica;Arial"/>
                <w:b/>
              </w:rPr>
            </w:pPr>
            <w:r>
              <w:rPr>
                <w:rFonts w:cs="Helvetica;Arial" w:ascii="Helvetica;Arial" w:hAnsi="Helvetica;Arial"/>
                <w:b/>
              </w:rPr>
              <w:t>38.5x</w:t>
            </w:r>
          </w:p>
        </w:tc>
        <w:tc>
          <w:tcPr>
            <w:tcW w:w="2016" w:type="dxa"/>
            <w:gridSpan w:val="2"/>
            <w:tcBorders/>
          </w:tcPr>
          <w:p>
            <w:pPr>
              <w:pStyle w:val="Normal"/>
              <w:widowControl/>
              <w:tabs>
                <w:tab w:val="clear" w:pos="720"/>
                <w:tab w:val="decimal" w:pos="306" w:leader="none"/>
              </w:tabs>
              <w:rPr>
                <w:rFonts w:ascii="Helvetica;Arial" w:hAnsi="Helvetica;Arial" w:cs="Helvetica;Arial"/>
                <w:b/>
              </w:rPr>
            </w:pPr>
            <w:r>
              <w:rPr>
                <w:rFonts w:cs="Helvetica;Arial" w:ascii="Helvetica;Arial" w:hAnsi="Helvetica;Arial"/>
                <w:b/>
              </w:rPr>
              <w:t>-</w:t>
            </w:r>
          </w:p>
        </w:tc>
      </w:tr>
    </w:tbl>
    <w:p>
      <w:pPr>
        <w:pStyle w:val="Normal"/>
        <w:widowControl/>
        <w:pBdr>
          <w:bottom w:val="single" w:sz="6" w:space="1" w:color="000000"/>
        </w:pBdr>
        <w:tabs>
          <w:tab w:val="clear" w:pos="720"/>
          <w:tab w:val="left" w:pos="540" w:leader="none"/>
          <w:tab w:val="left" w:pos="900" w:leader="none"/>
        </w:tabs>
        <w:ind w:end="162"/>
        <w:rPr>
          <w:rFonts w:ascii="Helvetica;Arial" w:hAnsi="Helvetica;Arial" w:cs="Helvetica;Arial"/>
          <w:sz w:val="16"/>
        </w:rPr>
      </w:pPr>
      <w:r>
        <w:rPr>
          <w:rFonts w:cs="Helvetica;Arial" w:ascii="Helvetica;Arial" w:hAnsi="Helvetica;Arial"/>
          <w:sz w:val="16"/>
        </w:rPr>
        <w:t>Notes:</w:t>
        <w:tab/>
        <w:t>Earnings estimates reflect operating results on a diluted basis and exclude all one-time items.</w:t>
      </w:r>
    </w:p>
    <w:p>
      <w:pPr>
        <w:pStyle w:val="Normal"/>
        <w:widowControl/>
        <w:jc w:val="both"/>
        <w:rPr>
          <w:rFonts w:ascii="Helvetica;Arial" w:hAnsi="Helvetica;Arial" w:cs="Helvetica;Arial"/>
          <w:sz w:val="16"/>
        </w:rPr>
      </w:pPr>
      <w:r>
        <w:rPr>
          <w:rFonts w:cs="Helvetica;Arial" w:ascii="Helvetica;Arial" w:hAnsi="Helvetica;Arial"/>
          <w:sz w:val="16"/>
        </w:rPr>
      </w:r>
    </w:p>
    <w:p>
      <w:pPr>
        <w:pStyle w:val="Normal"/>
        <w:rPr>
          <w:rFonts w:ascii="Helvetica;Arial" w:hAnsi="Helvetica;Arial" w:cs="Helvetica;Arial"/>
          <w:b/>
        </w:rPr>
      </w:pPr>
      <w:r>
        <w:rPr>
          <w:rFonts w:cs="Helvetica;Arial" w:ascii="Helvetica;Arial" w:hAnsi="Helvetica;Arial"/>
          <w:b/>
        </w:rPr>
        <w:t>ENE—RAISE PRICE TARGET TO $100; CONFERENCE CALL; REMAINS “1” RATED</w:t>
      </w:r>
    </w:p>
    <w:p>
      <w:pPr>
        <w:pStyle w:val="Normal"/>
        <w:rPr>
          <w:rFonts w:ascii="Helvetica;Arial" w:hAnsi="Helvetica;Arial" w:cs="Helvetica;Arial"/>
          <w:b/>
        </w:rPr>
      </w:pPr>
      <w:r>
        <w:rPr>
          <w:rFonts w:cs="Helvetica;Arial" w:ascii="Helvetica;Arial" w:hAnsi="Helvetica;Arial"/>
          <w:b/>
        </w:rPr>
      </w:r>
    </w:p>
    <w:p>
      <w:pPr>
        <w:pStyle w:val="Normal"/>
        <w:numPr>
          <w:ilvl w:val="0"/>
          <w:numId w:val="2"/>
        </w:numPr>
        <w:rPr>
          <w:rFonts w:ascii="Helvetica;Arial" w:hAnsi="Helvetica;Arial" w:cs="Helvetica;Arial"/>
          <w:b/>
        </w:rPr>
      </w:pPr>
      <w:r>
        <w:rPr>
          <w:rFonts w:cs="Helvetica;Arial" w:ascii="Helvetica;Arial" w:hAnsi="Helvetica;Arial"/>
          <w:b/>
        </w:rPr>
        <w:t>SCHRODERS-SPONSORED CONFERENCE CALL TODAY AT 11:00 A.M. EDT TO DISCUSS ENRON’S ANALYST MEETING—Dial-in:  877-679-9051</w:t>
      </w:r>
    </w:p>
    <w:p>
      <w:pPr>
        <w:pStyle w:val="Normal"/>
        <w:numPr>
          <w:ilvl w:val="0"/>
          <w:numId w:val="2"/>
        </w:numPr>
        <w:rPr>
          <w:rFonts w:ascii="Helvetica;Arial" w:hAnsi="Helvetica;Arial" w:cs="Helvetica;Arial"/>
          <w:b/>
        </w:rPr>
      </w:pPr>
      <w:r>
        <w:rPr>
          <w:rFonts w:cs="Helvetica;Arial" w:ascii="Helvetica;Arial" w:hAnsi="Helvetica;Arial"/>
          <w:b/>
        </w:rPr>
        <w:t>Raise 12-month price target from $75 to $100; Enron is our Top Pick for 2000</w:t>
      </w:r>
    </w:p>
    <w:p>
      <w:pPr>
        <w:pStyle w:val="Normal"/>
        <w:rPr>
          <w:rFonts w:ascii="Helvetica;Arial" w:hAnsi="Helvetica;Arial" w:cs="Helvetica;Arial"/>
          <w:b/>
        </w:rPr>
      </w:pPr>
      <w:r>
        <w:rPr>
          <w:rFonts w:cs="Helvetica;Arial" w:ascii="Helvetica;Arial" w:hAnsi="Helvetica;Arial"/>
          <w:b/>
        </w:rPr>
      </w:r>
    </w:p>
    <w:p>
      <w:pPr>
        <w:pStyle w:val="Normal"/>
        <w:numPr>
          <w:ilvl w:val="0"/>
          <w:numId w:val="2"/>
        </w:numPr>
        <w:rPr>
          <w:rFonts w:ascii="Helvetica;Arial" w:hAnsi="Helvetica;Arial" w:cs="Helvetica;Arial"/>
          <w:b/>
          <w:u w:val="single"/>
        </w:rPr>
      </w:pPr>
      <w:r>
        <w:rPr>
          <w:rFonts w:cs="Helvetica;Arial" w:ascii="Helvetica;Arial" w:hAnsi="Helvetica;Arial"/>
          <w:b/>
          <w:u w:val="single"/>
        </w:rPr>
        <w:t>3 KEY POINTS:</w:t>
      </w:r>
    </w:p>
    <w:p>
      <w:pPr>
        <w:pStyle w:val="Normal"/>
        <w:numPr>
          <w:ilvl w:val="0"/>
          <w:numId w:val="2"/>
        </w:numPr>
        <w:rPr>
          <w:rFonts w:ascii="Helvetica;Arial" w:hAnsi="Helvetica;Arial" w:cs="Helvetica;Arial"/>
          <w:b/>
        </w:rPr>
      </w:pPr>
      <w:r>
        <w:rPr>
          <w:rFonts w:cs="Helvetica;Arial" w:ascii="Helvetica;Arial" w:hAnsi="Helvetica;Arial"/>
          <w:b/>
        </w:rPr>
        <w:t>Confidence in existing Energy Merchant and Retail Energy franchises strengthened by disclosures at conference</w:t>
      </w:r>
    </w:p>
    <w:p>
      <w:pPr>
        <w:pStyle w:val="Normal"/>
        <w:numPr>
          <w:ilvl w:val="0"/>
          <w:numId w:val="2"/>
        </w:numPr>
        <w:rPr>
          <w:rFonts w:ascii="Helvetica;Arial" w:hAnsi="Helvetica;Arial" w:cs="Helvetica;Arial"/>
          <w:b/>
        </w:rPr>
      </w:pPr>
      <w:r>
        <w:rPr>
          <w:rFonts w:cs="Helvetica;Arial" w:ascii="Helvetica;Arial" w:hAnsi="Helvetica;Arial"/>
          <w:b/>
        </w:rPr>
        <w:t>The assist from Enron’s online trading platform—www.enrononline.com—is surprising and much greater than expected</w:t>
      </w:r>
    </w:p>
    <w:p>
      <w:pPr>
        <w:pStyle w:val="Normal"/>
        <w:numPr>
          <w:ilvl w:val="0"/>
          <w:numId w:val="3"/>
        </w:numPr>
        <w:rPr>
          <w:rFonts w:ascii="Helvetica;Arial" w:hAnsi="Helvetica;Arial" w:cs="Helvetica;Arial"/>
          <w:b/>
        </w:rPr>
      </w:pPr>
      <w:r>
        <w:rPr>
          <w:rFonts w:cs="Helvetica;Arial" w:ascii="Helvetica;Arial" w:hAnsi="Helvetica;Arial"/>
          <w:b/>
        </w:rPr>
        <w:t>Finally, bandwidth trading &amp; delivery services are a reality, and investors are clearly paying for this opportunity at a faster rate than anticipated; we think the value is there, justifying a greater near-term (12-month) price target</w:t>
      </w:r>
    </w:p>
    <w:p>
      <w:pPr>
        <w:pStyle w:val="bodytext1"/>
        <w:widowControl/>
        <w:rPr>
          <w:rFonts w:ascii="Helvetica;Arial" w:hAnsi="Helvetica;Arial" w:cs="Helvetica;Arial"/>
          <w:b/>
          <w:sz w:val="20"/>
        </w:rPr>
      </w:pPr>
      <w:r>
        <w:rPr>
          <w:rFonts w:cs="Helvetica;Arial"/>
          <w:b/>
          <w:sz w:val="20"/>
        </w:rPr>
      </w:r>
    </w:p>
    <w:p>
      <w:pPr>
        <w:pStyle w:val="Normal"/>
        <w:rPr/>
      </w:pPr>
      <w:r>
        <w:rPr>
          <w:rFonts w:cs="Helvetica;Arial" w:ascii="Helvetica;Arial" w:hAnsi="Helvetica;Arial"/>
          <w:b/>
        </w:rPr>
        <w:t xml:space="preserve">KEY HIGHLIGHTS FROM ANALYST MEETING.  </w:t>
      </w:r>
      <w:r>
        <w:rPr>
          <w:rFonts w:cs="Helvetica;Arial" w:ascii="Helvetica;Arial" w:hAnsi="Helvetica;Arial"/>
        </w:rPr>
        <w:t>Following are key highlights from Enron’s annual analyst meeting, held yesterday in Houston.  The stronger-than-expected outlook in three key areas is the reason for the increase in our price target.</w:t>
      </w:r>
    </w:p>
    <w:p>
      <w:pPr>
        <w:pStyle w:val="Normal"/>
        <w:rPr>
          <w:rFonts w:ascii="Helvetica;Arial" w:hAnsi="Helvetica;Arial" w:cs="Helvetica;Arial"/>
        </w:rPr>
      </w:pPr>
      <w:r>
        <w:rPr>
          <w:rFonts w:cs="Helvetica;Arial" w:ascii="Helvetica;Arial" w:hAnsi="Helvetica;Arial"/>
        </w:rPr>
      </w:r>
    </w:p>
    <w:p>
      <w:pPr>
        <w:pStyle w:val="Heading1"/>
        <w:ind w:hanging="0" w:start="0"/>
        <w:rPr/>
      </w:pPr>
      <w:r>
        <w:rPr/>
        <w:t>EXISTING ENERGY MERCHANT AND RETAIL ENERGY PLATFORMS</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b/>
        </w:rPr>
        <w:t>WHOLESALE:</w:t>
      </w:r>
      <w:r>
        <w:rPr>
          <w:rFonts w:cs="Helvetica;Arial" w:ascii="Helvetica;Arial" w:hAnsi="Helvetica;Arial"/>
        </w:rPr>
        <w:t xml:space="preserve">  Enron’s wholesale energy business in the U.S. is going strong.  Volume growth has resumed in electricity, and market share gains in natural gas reflect the double impact of synergy with the deregulating electricity market, and the impact of online trading (discussed below).  Continental Europe has mushroomed as a growth franchise, ahead of our expectation.  Enron has overcome regulatory difficulties and a wall of opposition from entrenched European utilities to achieve remarkable growth since February 1999, the “Big Bang” of deregulation in Continental Europe.  Transaction volumes – the key driver of profitability – have doubled sequentially each quarter, since the market opening (est.) </w:t>
      </w:r>
      <w:r>
        <w:rPr>
          <w:rFonts w:cs="Helvetica;Arial" w:ascii="Helvetica;Arial" w:hAnsi="Helvetica;Arial"/>
          <w:b/>
        </w:rPr>
        <w:t>750 transactions in 1Q:99, 1,500 in 2Q:99, 3,000 in 3Q:99, and 8,000 in 4Q:99 (profitable already in 3Q: &amp; 4Q:99).</w:t>
      </w:r>
    </w:p>
    <w:p>
      <w:pPr>
        <w:pStyle w:val="Normal"/>
        <w:rPr>
          <w:rFonts w:ascii="Helvetica;Arial" w:hAnsi="Helvetica;Arial" w:cs="Helvetica;Arial"/>
          <w:b/>
        </w:rPr>
      </w:pPr>
      <w:r>
        <w:rPr>
          <w:rFonts w:cs="Helvetica;Arial" w:ascii="Helvetica;Arial" w:hAnsi="Helvetica;Arial"/>
          <w:b/>
        </w:rPr>
      </w:r>
    </w:p>
    <w:p>
      <w:pPr>
        <w:pStyle w:val="Normal"/>
        <w:rPr>
          <w:rFonts w:ascii="Helvetica;Arial" w:hAnsi="Helvetica;Arial" w:cs="Helvetica;Arial"/>
        </w:rPr>
      </w:pPr>
      <w:r>
        <w:rPr>
          <w:rFonts w:cs="Helvetica;Arial" w:ascii="Helvetica;Arial" w:hAnsi="Helvetica;Arial"/>
        </w:rPr>
        <w:t>The Continental European market, as the U.S. electricity and natural gas markets before, demonstrate 2 principles, with implications for the bandwidth commodity market:  (1) once “critical mass” in transaction volumes are achieved, markets tend to follow a natural and rapidly growing progression; and (2) opposition from existing industry players is not enough to “re-cork the Genie” after it has been let out of the bottle.  Deregulation and commoditization are typically not reversed once they have entered an industry whose inefficient market structure calls for the introduction of market forces.</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rPr>
        <w:t>All told, the resumption of volume growth in U.S. electricity, robustness in U.S. natural gas, and exploding market presence in Europe, increase our confidence that Enron’s Energy Merchant franchise -- which already contributes 75% of earnings and grew 35% in 1999 -- will continue to grow 30%-40% in 2000 and later years.</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b/>
        </w:rPr>
        <w:t>RETAIL:</w:t>
      </w:r>
      <w:r>
        <w:rPr>
          <w:rFonts w:cs="Helvetica;Arial" w:ascii="Helvetica;Arial" w:hAnsi="Helvetica;Arial"/>
        </w:rPr>
        <w:t xml:space="preserve">  Breaking into the black, Retail Energy achieved profitability in 4Q:99 after 3 years of start-up losses.  Enron raised the bar on profitability at the meeting, from a projected $50 million to $75 million in 2000.  We think this goal is conservative and likely to be topped as the relatively fixed front-end costs are leveraged by rapidly growing contract volumes, projected to double in 2000 from the $8.5 billion signed in 1999.</w:t>
      </w:r>
    </w:p>
    <w:p>
      <w:pPr>
        <w:pStyle w:val="Header"/>
        <w:tabs>
          <w:tab w:val="clear" w:pos="4320"/>
          <w:tab w:val="clear" w:pos="8640"/>
        </w:tabs>
        <w:rPr>
          <w:rFonts w:ascii="Helvetica;Arial" w:hAnsi="Helvetica;Arial" w:cs="Helvetica;Arial"/>
        </w:rPr>
      </w:pPr>
      <w:r>
        <w:rPr>
          <w:rFonts w:cs="Helvetica;Arial" w:ascii="Helvetica;Arial" w:hAnsi="Helvetica;Arial"/>
        </w:rPr>
      </w:r>
    </w:p>
    <w:p>
      <w:pPr>
        <w:pStyle w:val="Heading1"/>
        <w:ind w:hanging="0" w:start="0"/>
        <w:rPr/>
      </w:pPr>
      <w:r>
        <w:rPr/>
        <w:t>ONLINE TRADING</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rPr>
        <w:t xml:space="preserve">Enron’s online trading platform – </w:t>
      </w:r>
      <w:hyperlink r:id="rId2">
        <w:r>
          <w:rPr>
            <w:rStyle w:val="Hyperlink"/>
            <w:rFonts w:cs="Helvetica;Arial" w:ascii="Helvetica;Arial" w:hAnsi="Helvetica;Arial"/>
            <w:b/>
          </w:rPr>
          <w:t>www.enrononline.com</w:t>
        </w:r>
      </w:hyperlink>
      <w:r>
        <w:rPr>
          <w:rFonts w:cs="Helvetica;Arial" w:ascii="Helvetica;Arial" w:hAnsi="Helvetica;Arial"/>
        </w:rPr>
        <w:t xml:space="preserve"> – is a true “business-to-business eCommerce” platform.  It replaces slow, inefficient “voice and fax” trading conducted over telephone lines.  Enron has already achieved No. 1 market share in this type of energy trading service, which doesn’t surprise us given the ease of use we witnessed in the system.  </w:t>
      </w:r>
    </w:p>
    <w:p>
      <w:pPr>
        <w:pStyle w:val="Header"/>
        <w:tabs>
          <w:tab w:val="clear" w:pos="4320"/>
          <w:tab w:val="clear" w:pos="8640"/>
        </w:tabs>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rPr>
        <w:t xml:space="preserve">Enron disclosed that in less than 3 months of operation (it was launched on November 29), </w:t>
      </w:r>
      <w:r>
        <w:rPr>
          <w:rFonts w:cs="Helvetica;Arial" w:ascii="Helvetica;Arial" w:hAnsi="Helvetica;Arial"/>
          <w:b/>
        </w:rPr>
        <w:t>EnronOnline now accounts for 18% of Enron’s total trading volume in electricity and gas, i.e., over 10,000 transactions to date.</w:t>
      </w:r>
      <w:r>
        <w:rPr>
          <w:rFonts w:cs="Helvetica;Arial" w:ascii="Helvetica;Arial" w:hAnsi="Helvetica;Arial"/>
        </w:rPr>
        <w:t xml:space="preserve">  We think it is possible that Enron could as much as double its existing market share in commodities such as electricity and natural gas over time through the use of its online trading platform, with evidence of a market share effect already occurring in the U.S. and U.K. natural gas markets.</w:t>
      </w:r>
    </w:p>
    <w:p>
      <w:pPr>
        <w:pStyle w:val="Normal"/>
        <w:rPr>
          <w:rFonts w:ascii="Helvetica;Arial" w:hAnsi="Helvetica;Arial" w:cs="Helvetica;Arial"/>
        </w:rPr>
      </w:pPr>
      <w:r>
        <w:rPr>
          <w:rFonts w:cs="Helvetica;Arial" w:ascii="Helvetica;Arial" w:hAnsi="Helvetica;Arial"/>
        </w:rPr>
      </w:r>
    </w:p>
    <w:p>
      <w:pPr>
        <w:pStyle w:val="Heading1"/>
        <w:ind w:hanging="0" w:start="0"/>
        <w:rPr/>
      </w:pPr>
      <w:r>
        <w:rPr/>
        <w:t>BANDWIDTH TRADING &amp; CONTENT DELIVERY SERVICES</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b/>
        </w:rPr>
        <w:t>Enron is trading bandwidth, having completed about 5 transactions in the past several weeks.</w:t>
      </w:r>
      <w:r>
        <w:rPr>
          <w:rFonts w:cs="Helvetica;Arial" w:ascii="Helvetica;Arial" w:hAnsi="Helvetica;Arial"/>
        </w:rPr>
        <w:t xml:space="preserve">  In our view, as we said in our January 12 report, the achievement of a “critical number” of transactions validates a new commodity market.  We think Enron has nearly achieved that number, and is at the cusp of validating the bandwidth market.</w:t>
      </w:r>
    </w:p>
    <w:p>
      <w:pPr>
        <w:pStyle w:val="Normal"/>
        <w:rPr>
          <w:rFonts w:ascii="Helvetica;Arial" w:hAnsi="Helvetica;Arial" w:cs="Helvetica;Arial"/>
        </w:rPr>
      </w:pPr>
      <w:r>
        <w:rPr>
          <w:rFonts w:cs="Helvetica;Arial" w:ascii="Helvetica;Arial" w:hAnsi="Helvetica;Arial"/>
        </w:rPr>
      </w:r>
    </w:p>
    <w:p>
      <w:pPr>
        <w:pStyle w:val="Normal"/>
        <w:rPr>
          <w:rFonts w:ascii="Helvetica;Arial" w:hAnsi="Helvetica;Arial" w:cs="Helvetica;Arial"/>
        </w:rPr>
      </w:pPr>
      <w:r>
        <w:rPr>
          <w:rFonts w:cs="Helvetica;Arial" w:ascii="Helvetica;Arial" w:hAnsi="Helvetica;Arial"/>
        </w:rPr>
        <w:t>What should we expect from here?  We expect to see the number of transactions accelerate.  Enron gave a metric to track this market which is essentially the same as energy volumes in the gas and electricity markets.  We expect this volume number to grow materially, and profits to track that number.</w:t>
      </w:r>
    </w:p>
    <w:p>
      <w:pPr>
        <w:pStyle w:val="Normal"/>
        <w:rPr>
          <w:rFonts w:ascii="Helvetica;Arial" w:hAnsi="Helvetica;Arial" w:cs="Helvetica;Arial"/>
        </w:rPr>
      </w:pPr>
      <w:r>
        <w:rPr>
          <w:rFonts w:cs="Helvetica;Arial" w:ascii="Helvetica;Arial" w:hAnsi="Helvetica;Arial"/>
        </w:rPr>
      </w:r>
    </w:p>
    <w:p>
      <w:pPr>
        <w:pStyle w:val="Normal"/>
        <w:rPr>
          <w:rFonts w:ascii="Helvetica;Arial" w:hAnsi="Helvetica;Arial" w:cs="Helvetica;Arial"/>
        </w:rPr>
      </w:pPr>
      <w:r>
        <w:rPr>
          <w:rFonts w:cs="Helvetica;Arial" w:ascii="Helvetica;Arial" w:hAnsi="Helvetica;Arial"/>
        </w:rPr>
        <w:t>Validation of bandwidth trading comes in transactions.  On the content delivery side, we see validation in the sheer technical excellence that was obvious from our walk-through of Enron’s facilities.  We also see it by the growing “buy-in” Enron is receiving from leading technology and communications services companies who are choosing to partner with Enron.  These include Lucent, Cisco and Sun Microsystems.  The latter was highlighted by Enron’s announcement – in conjunction with Scott McNealy, CEO of Sun, that Enron would purchase as many as 18,000 servers to manage the content delivery side of the business over the next 5-10 years.</w:t>
      </w:r>
    </w:p>
    <w:p>
      <w:pPr>
        <w:pStyle w:val="Normal"/>
        <w:rPr>
          <w:rFonts w:ascii="Helvetica;Arial" w:hAnsi="Helvetica;Arial" w:cs="Helvetica;Arial"/>
        </w:rPr>
      </w:pPr>
      <w:r>
        <w:rPr>
          <w:rFonts w:cs="Helvetica;Arial" w:ascii="Helvetica;Arial" w:hAnsi="Helvetica;Arial"/>
        </w:rPr>
      </w:r>
    </w:p>
    <w:p>
      <w:pPr>
        <w:pStyle w:val="Heading1"/>
        <w:ind w:hanging="0" w:start="0"/>
        <w:rPr/>
      </w:pPr>
      <w:r>
        <w:rPr/>
        <w:t>COMMUNICATIONS IS THE CRITICAL NEW VALUE DRIVER FOR ENRON</w:t>
      </w:r>
    </w:p>
    <w:p>
      <w:pPr>
        <w:pStyle w:val="Normal"/>
        <w:rPr>
          <w:rFonts w:ascii="Helvetica;Arial" w:hAnsi="Helvetica;Arial" w:cs="Helvetica;Arial"/>
        </w:rPr>
      </w:pPr>
      <w:r>
        <w:rPr>
          <w:rFonts w:cs="Helvetica;Arial" w:ascii="Helvetica;Arial" w:hAnsi="Helvetica;Arial"/>
        </w:rPr>
      </w:r>
    </w:p>
    <w:p>
      <w:pPr>
        <w:pStyle w:val="BodyText3"/>
        <w:rPr/>
      </w:pPr>
      <w:r>
        <w:rPr/>
        <w:t>It is difficult to value these new business opportunities, and more rigorous valuation methodologies are necessary.  Nevertheless, recognizing that uncertainty, we see our new 12-month price target as conservative. Enron is a unique business entity that has no direct comparable in the communications business.  Ultimately, we think the value of the bandwidth trading &amp; content delivery opportunities, due to their superior growth potential, are worth more than the entire value Enron has created in electricity and natural gas so far.</w:t>
      </w:r>
    </w:p>
    <w:p>
      <w:pPr>
        <w:pStyle w:val="Normal"/>
        <w:rPr>
          <w:rFonts w:ascii="Helvetica;Arial" w:hAnsi="Helvetica;Arial" w:cs="Helvetica;Arial"/>
        </w:rPr>
      </w:pPr>
      <w:r>
        <w:rPr>
          <w:rFonts w:cs="Helvetica;Arial" w:ascii="Helvetica;Arial" w:hAnsi="Helvetica;Arial"/>
        </w:rPr>
      </w:r>
    </w:p>
    <w:p>
      <w:pPr>
        <w:pStyle w:val="Normal"/>
        <w:rPr>
          <w:rFonts w:ascii="Helvetica;Arial" w:hAnsi="Helvetica;Arial" w:cs="Helvetica;Arial"/>
        </w:rPr>
      </w:pPr>
      <w:r>
        <w:rPr>
          <w:rFonts w:cs="Helvetica;Arial" w:ascii="Helvetica;Arial" w:hAnsi="Helvetica;Arial"/>
        </w:rPr>
        <w:t>In our earlier view, Enron’s energy businesses – Wholesale and Retail Energy – were worth at least $60.  We think the outlook at both of these businesses has improved, justifying a higher price target.</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rPr>
        <w:t>We assigned $45 of value to the bandwidth market, excluding the content delivery side of the business.  Based on what we learned at the conference, we now think $45 for bandwidth trading is conservative, and content delivery is worth considerably more than the zero we had assigned it.</w:t>
      </w:r>
    </w:p>
    <w:p>
      <w:pPr>
        <w:pStyle w:val="Normal"/>
        <w:rPr>
          <w:rFonts w:ascii="Helvetica;Arial" w:hAnsi="Helvetica;Arial" w:cs="Helvetica;Arial"/>
        </w:rPr>
      </w:pPr>
      <w:r>
        <w:rPr>
          <w:rFonts w:cs="Helvetica;Arial" w:ascii="Helvetica;Arial" w:hAnsi="Helvetica;Arial"/>
        </w:rPr>
      </w:r>
    </w:p>
    <w:p>
      <w:pPr>
        <w:pStyle w:val="Normal"/>
        <w:rPr/>
      </w:pPr>
      <w:r>
        <w:rPr>
          <w:rFonts w:cs="Helvetica;Arial" w:ascii="Helvetica;Arial" w:hAnsi="Helvetica;Arial"/>
          <w:b/>
        </w:rPr>
        <w:t>We raise our 12-month price target from $75 to $100.</w:t>
      </w:r>
      <w:r>
        <w:rPr>
          <w:rFonts w:cs="Helvetica;Arial" w:ascii="Helvetica;Arial" w:hAnsi="Helvetica;Arial"/>
        </w:rPr>
        <w:t xml:space="preserve">  We view this as an intermediate target, influenced by several factors:  (1) how rapidly investors pay for the bandwidth opportunity; and (2) how rapidly catalysts unfold in bandwidth trading, utilization of the online trading platform, rollout of content delivery services, and continued development of the energy platforms.</w:t>
      </w:r>
    </w:p>
    <w:sectPr>
      <w:footerReference w:type="default" r:id="rId3"/>
      <w:footerReference w:type="first" r:id="rId4"/>
      <w:type w:val="nextPage"/>
      <w:pgSz w:w="12240" w:h="15840"/>
      <w:pgMar w:left="720" w:right="1008" w:gutter="0" w:header="0" w:top="43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Helvetica;Arial" w:hAnsi="Helvetica;Arial" w:cs="Helvetica;Arial"/>
        <w:spacing w:val="20"/>
        <w:sz w:val="16"/>
      </w:rPr>
    </w:pPr>
    <w:r>
      <w:rPr>
        <w:rFonts w:cs="Helvetica;Arial" w:ascii="Helvetica;Arial" w:hAnsi="Helvetica;Arial"/>
        <w:spacing w:val="20"/>
        <w:sz w:val="16"/>
      </w:rPr>
      <w:t>Schroder &amp; Co. Inc. was a manager or co-manager of a public offering of Enron within the past three years.</w:t>
    </w:r>
  </w:p>
  <w:p>
    <w:pPr>
      <w:pStyle w:val="Normal"/>
      <w:widowControl/>
      <w:rPr>
        <w:rFonts w:ascii="Helvetica;Arial" w:hAnsi="Helvetica;Arial" w:cs="Helvetica;Arial"/>
        <w:spacing w:val="20"/>
        <w:sz w:val="16"/>
      </w:rPr>
    </w:pPr>
    <w:r>
      <w:rPr>
        <w:rFonts w:cs="Helvetica;Arial" w:ascii="Helvetica;Arial" w:hAnsi="Helvetica;Arial"/>
        <w:spacing w:val="20"/>
        <w:sz w:val="16"/>
      </w:rPr>
      <w:t>The analyst covering this company has an ownership position in its shares.</w:t>
    </w:r>
  </w:p>
  <w:p>
    <w:pPr>
      <w:pStyle w:val="Normal"/>
      <w:widowControl/>
      <w:jc w:val="center"/>
      <w:rPr>
        <w:rFonts w:ascii="Helvetica;Arial" w:hAnsi="Helvetica;Arial" w:cs="Helvetica;Arial"/>
        <w:b/>
        <w:spacing w:val="20"/>
        <w:sz w:val="16"/>
      </w:rPr>
    </w:pPr>
    <w:r>
      <w:rPr>
        <w:rFonts w:cs="Helvetica;Arial" w:ascii="Helvetica;Arial" w:hAnsi="Helvetica;Arial"/>
        <w:b/>
        <w:spacing w:val="20"/>
        <w:sz w:val="16"/>
      </w:rPr>
      <w:t>© Copyright 2000 Schroder &amp; Co. Inc.</w:t>
    </w:r>
  </w:p>
  <w:p>
    <w:pPr>
      <w:pStyle w:val="Normal"/>
      <w:widowControl/>
      <w:pBdr>
        <w:bottom w:val="single" w:sz="6" w:space="1" w:color="000000"/>
      </w:pBdr>
      <w:jc w:val="center"/>
      <w:rPr>
        <w:rFonts w:ascii="Helvetica;Arial" w:hAnsi="Helvetica;Arial" w:cs="Helvetica;Arial"/>
        <w:sz w:val="16"/>
      </w:rPr>
    </w:pPr>
    <w:r>
      <w:rPr>
        <w:rFonts w:cs="Helvetica;Arial" w:ascii="Helvetica;Arial" w:hAnsi="Helvetica;Arial"/>
        <w:b/>
        <w:sz w:val="16"/>
      </w:rPr>
      <w:t>Equitable Center 787 Seventh Avenue New York, NY  10019-6016 Tel. 212-492-6000</w:t>
    </w:r>
  </w:p>
  <w:p>
    <w:pPr>
      <w:pStyle w:val="Normal"/>
      <w:widowControl/>
      <w:spacing w:lineRule="exact" w:line="173"/>
      <w:ind w:end="-101"/>
      <w:jc w:val="center"/>
      <w:rPr>
        <w:rFonts w:ascii="Helvetica;Arial" w:hAnsi="Helvetica;Arial" w:cs="Helvetica;Arial"/>
        <w:i/>
        <w:i/>
        <w:sz w:val="16"/>
      </w:rPr>
    </w:pPr>
    <w:r>
      <w:rPr>
        <w:rFonts w:cs="Helvetica;Arial" w:ascii="Helvetica;Arial" w:hAnsi="Helvetica;Arial"/>
        <w:i/>
        <w:sz w:val="16"/>
      </w:rPr>
      <w:t>Information contained herein is based on sources we believe to be reliable but we do not guarantee its accuracy.  Prices and opinions concerning the composition of market sectors included in this report reflect the judgments as of this date and are subject to change without notice.  This report is for information purposes only and is not intended as an offer to sell or a solicitation to buy securities.  Schroder &amp; Co. Inc. or persons associated with it may own securities of the issues described herein and may make purchases or sales while this report is in circulation.  Additional information available upon request.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sz w:val="20"/>
        <w:i w:val="false"/>
        <w:u w:val="none"/>
        <w:b/>
      </w:rPr>
    </w:lvl>
  </w:abstractNum>
  <w:abstractNum w:abstractNumId="4">
    <w:lvl w:ilvl="0">
      <w:start w:val="1"/>
      <w:numFmt w:val="decimal"/>
      <w:lvlText w:val="q%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jc w:val="both"/>
      <w:outlineLvl w:val="0"/>
    </w:pPr>
    <w:rPr>
      <w:rFonts w:ascii="Helvetica;Arial" w:hAnsi="Helvetica;Arial" w:cs="Helvetica;Arial"/>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rFonts w:ascii="Helvetica;Arial" w:hAnsi="Helvetica;Arial" w:cs="Helvetica;Arial"/>
      <w:b/>
      <w:sz w:val="1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b/>
    </w:rPr>
  </w:style>
  <w:style w:type="character" w:styleId="WW8Num7z0">
    <w:name w:val="WW8Num7z0"/>
    <w:qFormat/>
    <w:rPr>
      <w:b/>
    </w:rPr>
  </w:style>
  <w:style w:type="character" w:styleId="WW8Num8z0">
    <w:name w:val="WW8Num8z0"/>
    <w:qFormat/>
    <w:rPr>
      <w:b/>
    </w:rPr>
  </w:style>
  <w:style w:type="character" w:styleId="WW8NumSt1z0">
    <w:name w:val="WW8NumSt1z0"/>
    <w:qFormat/>
    <w:rPr>
      <w:rFonts w:ascii="Symbol" w:hAnsi="Symbol" w:cs="Symbol"/>
      <w:b/>
      <w:i w:val="false"/>
      <w:sz w:val="20"/>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Helvetica;Arial" w:hAnsi="Helvetica;Arial" w:cs="Helvetica;Arial"/>
      <w:b/>
    </w:rPr>
  </w:style>
  <w:style w:type="paragraph" w:styleId="List">
    <w:name w:val="List"/>
    <w:basedOn w:val="BodyText"/>
    <w:pPr/>
    <w:rPr>
      <w:rFonts w:cs="NotoSans NF"/>
    </w:rPr>
  </w:style>
  <w:style w:type="paragraph" w:styleId="Caption">
    <w:name w:val="caption"/>
    <w:basedOn w:val="Normal"/>
    <w:next w:val="Normal"/>
    <w:qFormat/>
    <w:pPr>
      <w:widowControl/>
      <w:pBdr>
        <w:top w:val="single" w:sz="6" w:space="1" w:color="000000"/>
        <w:left w:val="single" w:sz="6" w:space="1" w:color="000000"/>
        <w:bottom w:val="single" w:sz="6" w:space="1" w:color="000000"/>
        <w:right w:val="single" w:sz="6" w:space="1" w:color="000000"/>
      </w:pBdr>
      <w:shd w:fill="FFFF00" w:val="clear"/>
      <w:spacing w:before="0" w:after="240"/>
    </w:pPr>
    <w:rPr>
      <w:rFonts w:ascii="Helvetica;Arial" w:hAnsi="Helvetica;Arial" w:cs="Helvetica;Arial"/>
      <w:b/>
      <w:caps/>
      <w:color w:val="000000"/>
      <w:sz w:val="17"/>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1">
    <w:name w:val="bodytext"/>
    <w:basedOn w:val="Normal"/>
    <w:qFormat/>
    <w:pPr>
      <w:jc w:val="both"/>
    </w:pPr>
    <w:rPr>
      <w:rFonts w:ascii="Helvetica;Arial" w:hAnsi="Helvetica;Arial" w:cs="Helvetica;Arial"/>
      <w:sz w:val="19"/>
    </w:rPr>
  </w:style>
  <w:style w:type="paragraph" w:styleId="bullet">
    <w:name w:val="bullet"/>
    <w:basedOn w:val="bodytext1"/>
    <w:qFormat/>
    <w:pPr>
      <w:numPr>
        <w:ilvl w:val="0"/>
        <w:numId w:val="4"/>
      </w:numPr>
      <w:ind w:hanging="360" w:start="360" w:end="0"/>
    </w:pPr>
    <w:rPr/>
  </w:style>
  <w:style w:type="paragraph" w:styleId="conclusion-text">
    <w:name w:val="conclusion-text"/>
    <w:basedOn w:val="Normal"/>
    <w:qFormat/>
    <w:pPr>
      <w:spacing w:lineRule="atLeast" w:line="240" w:before="0" w:after="120"/>
      <w:jc w:val="both"/>
    </w:pPr>
    <w:rPr>
      <w:rFonts w:ascii="Helvetica;Arial" w:hAnsi="Helvetica;Arial" w:cs="Helvetica;Arial"/>
      <w:b/>
      <w:sz w:val="19"/>
    </w:rPr>
  </w:style>
  <w:style w:type="paragraph" w:styleId="title">
    <w:name w:val="title"/>
    <w:basedOn w:val="Normal"/>
    <w:qFormat/>
    <w:pPr/>
    <w:rPr>
      <w:rFonts w:ascii="Helvetica;Arial" w:hAnsi="Helvetica;Arial" w:cs="Helvetica;Arial"/>
      <w:b/>
      <w:smallCaps/>
      <w:spacing w:val="20"/>
      <w:sz w:val="21"/>
    </w:rPr>
  </w:style>
  <w:style w:type="paragraph" w:styleId="BodyText2">
    <w:name w:val="Body Text 2"/>
    <w:basedOn w:val="Normal"/>
    <w:qFormat/>
    <w:pPr>
      <w:widowControl/>
      <w:jc w:val="both"/>
    </w:pPr>
    <w:rPr>
      <w:rFonts w:ascii="Helvetica;Arial" w:hAnsi="Helvetica;Arial" w:cs="Helvetica;Arial"/>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rFonts w:ascii="Helvetica;Arial" w:hAnsi="Helvetica;Arial" w:cs="Helvetica;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2000-01-21T06:26:00Z</dcterms:created>
  <dc:creator>Ray Niles</dc:creator>
  <dc:description/>
  <dc:language>en-CA</dc:language>
  <cp:lastModifiedBy>Raymond C. Niles</cp:lastModifiedBy>
  <cp:lastPrinted>2000-01-21T04:21:00Z</cp:lastPrinted>
  <dcterms:modified xsi:type="dcterms:W3CDTF">2000-01-21T06:57:00Z</dcterms:modified>
  <cp:revision>12</cp:revision>
  <dc:subject/>
  <dc:title>EPS_</dc:title>
</cp:coreProperties>
</file>