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
        <w:spacing w:before="0" w:after="0"/>
        <w:ind w:hanging="0" w:end="0"/>
        <w:jc w:val="end"/>
        <w:rPr/>
      </w:pPr>
      <w:r>
        <w:rPr/>
        <w:t>Warsaw, November 20, 2001.</w:t>
      </w:r>
    </w:p>
    <w:p>
      <w:pPr>
        <w:pStyle w:val="Text"/>
        <w:spacing w:before="0" w:after="0"/>
        <w:ind w:hanging="0" w:end="0"/>
        <w:jc w:val="end"/>
        <w:rPr/>
      </w:pPr>
      <w:r>
        <w:rPr/>
      </w:r>
    </w:p>
    <w:p>
      <w:pPr>
        <w:pStyle w:val="Text"/>
        <w:spacing w:before="0" w:after="0"/>
        <w:ind w:hanging="0" w:end="0"/>
        <w:jc w:val="end"/>
        <w:rPr/>
      </w:pPr>
      <w:r>
        <w:rPr/>
      </w:r>
    </w:p>
    <w:p>
      <w:pPr>
        <w:pStyle w:val="Text"/>
        <w:spacing w:before="0" w:after="0"/>
        <w:ind w:hanging="0" w:end="0"/>
        <w:jc w:val="center"/>
        <w:rPr>
          <w:b/>
        </w:rPr>
      </w:pPr>
      <w:r>
        <w:rPr>
          <w:b/>
        </w:rPr>
        <w:t>MINUTES OF THE MEETING</w:t>
      </w:r>
    </w:p>
    <w:p>
      <w:pPr>
        <w:pStyle w:val="Text"/>
        <w:spacing w:before="0" w:after="0"/>
        <w:ind w:hanging="0" w:end="0"/>
        <w:jc w:val="center"/>
        <w:rPr>
          <w:b/>
        </w:rPr>
      </w:pPr>
      <w:r>
        <w:rPr>
          <w:b/>
        </w:rPr>
        <w:t>OF THE SUPERVISORY BOARD</w:t>
      </w:r>
    </w:p>
    <w:p>
      <w:pPr>
        <w:pStyle w:val="Text"/>
        <w:spacing w:before="0" w:after="0"/>
        <w:ind w:hanging="0" w:end="0"/>
        <w:jc w:val="center"/>
        <w:rPr>
          <w:b/>
        </w:rPr>
      </w:pPr>
      <w:r>
        <w:rPr>
          <w:b/>
        </w:rPr>
        <w:t>OF ELEKTROCIEPŁOWNIA NOWA SARZYNA Sp. z o. o.</w:t>
      </w:r>
    </w:p>
    <w:p>
      <w:pPr>
        <w:pStyle w:val="Text"/>
        <w:ind w:hanging="0" w:end="0"/>
        <w:jc w:val="center"/>
        <w:rPr>
          <w:b/>
        </w:rPr>
      </w:pPr>
      <w:r>
        <w:rPr>
          <w:b/>
        </w:rPr>
        <w:t>WITH ITS SEAT IN NOWA SARZYNA</w:t>
      </w:r>
    </w:p>
    <w:p>
      <w:pPr>
        <w:pStyle w:val="Text"/>
        <w:ind w:hanging="0" w:end="0"/>
        <w:jc w:val="center"/>
        <w:rPr>
          <w:b/>
        </w:rPr>
      </w:pPr>
      <w:r>
        <w:rPr>
          <w:b/>
        </w:rPr>
        <w:t xml:space="preserve">dated </w:t>
      </w:r>
      <w:bookmarkStart w:id="0" w:name="SelectLangPlace"/>
      <w:bookmarkEnd w:id="0"/>
      <w:r>
        <w:rPr>
          <w:b/>
        </w:rPr>
        <w:t>November 20, 2001</w:t>
      </w:r>
    </w:p>
    <w:p>
      <w:pPr>
        <w:pStyle w:val="Text"/>
        <w:ind w:hanging="0" w:end="0"/>
        <w:jc w:val="both"/>
        <w:rPr/>
      </w:pPr>
      <w:r>
        <w:rPr/>
        <w:t>On November 20, 2001 at 1.30 p.m. in Enron Poland offices in Warsaw a Meeting of the Supervisory Board of Elektrociepłownia Nowa Sarzyna Spółka z ograniczoną odpowiedzialnością (the „Company”) was held.</w:t>
      </w:r>
    </w:p>
    <w:p>
      <w:pPr>
        <w:pStyle w:val="Text"/>
        <w:ind w:hanging="0" w:end="0"/>
        <w:jc w:val="both"/>
        <w:rPr/>
      </w:pPr>
      <w:r>
        <w:rPr/>
        <w:t>The Meeting of the Supervisory Board was opened by Mr. Adam Overfield, Chairman of the Supervisory Board, who stated that the requirement of 7 days' notice prior to the meeting had been met, and that 6</w:t>
      </w:r>
      <w:r>
        <w:rPr>
          <w:color w:val="0000FF"/>
        </w:rPr>
        <w:t xml:space="preserve"> </w:t>
      </w:r>
      <w:r>
        <w:rPr/>
        <w:t>members of the Supervisory Board were present, and therefore, the Supervisory Board was able to adopt valid resolutions.</w:t>
      </w:r>
    </w:p>
    <w:p>
      <w:pPr>
        <w:pStyle w:val="Text"/>
        <w:ind w:hanging="0" w:end="0"/>
        <w:jc w:val="both"/>
        <w:rPr/>
      </w:pPr>
      <w:r>
        <w:rPr/>
        <w:t>Mr. Adam Overfield stated that the following members of the Supervisory Board were present at the meeting:</w:t>
      </w:r>
    </w:p>
    <w:p>
      <w:pPr>
        <w:pStyle w:val="Text"/>
        <w:numPr>
          <w:ilvl w:val="0"/>
          <w:numId w:val="4"/>
        </w:numPr>
        <w:jc w:val="both"/>
        <w:rPr/>
      </w:pPr>
      <w:r>
        <w:rPr/>
        <w:t>Adam Overfield;</w:t>
      </w:r>
    </w:p>
    <w:p>
      <w:pPr>
        <w:pStyle w:val="Text"/>
        <w:numPr>
          <w:ilvl w:val="0"/>
          <w:numId w:val="4"/>
        </w:numPr>
        <w:jc w:val="both"/>
        <w:rPr/>
      </w:pPr>
      <w:r>
        <w:rPr/>
        <w:t>Edward John Cattigan;</w:t>
      </w:r>
    </w:p>
    <w:p>
      <w:pPr>
        <w:pStyle w:val="Text"/>
        <w:numPr>
          <w:ilvl w:val="0"/>
          <w:numId w:val="4"/>
        </w:numPr>
        <w:jc w:val="both"/>
        <w:rPr/>
      </w:pPr>
      <w:r>
        <w:rPr/>
        <w:t>Anne Edgley;</w:t>
      </w:r>
    </w:p>
    <w:p>
      <w:pPr>
        <w:pStyle w:val="Text"/>
        <w:numPr>
          <w:ilvl w:val="0"/>
          <w:numId w:val="4"/>
        </w:numPr>
        <w:jc w:val="both"/>
        <w:rPr/>
      </w:pPr>
      <w:r>
        <w:rPr/>
        <w:t>Lloyd Wantschek;</w:t>
      </w:r>
    </w:p>
    <w:p>
      <w:pPr>
        <w:pStyle w:val="Text"/>
        <w:numPr>
          <w:ilvl w:val="0"/>
          <w:numId w:val="4"/>
        </w:numPr>
        <w:jc w:val="both"/>
        <w:rPr/>
      </w:pPr>
      <w:r>
        <w:rPr/>
        <w:t>Jarek Astramowicz and</w:t>
      </w:r>
    </w:p>
    <w:p>
      <w:pPr>
        <w:pStyle w:val="Text"/>
        <w:numPr>
          <w:ilvl w:val="0"/>
          <w:numId w:val="4"/>
        </w:numPr>
        <w:jc w:val="both"/>
        <w:rPr/>
      </w:pPr>
      <w:r>
        <w:rPr/>
        <w:t>Krzysztof Forycki.</w:t>
      </w:r>
    </w:p>
    <w:p>
      <w:pPr>
        <w:pStyle w:val="Text"/>
        <w:ind w:hanging="0" w:end="0"/>
        <w:jc w:val="both"/>
        <w:rPr/>
      </w:pPr>
      <w:r>
        <w:rPr/>
        <w:t>Mr. James V. Derrick, Jr., a member of the Supervisory Board, sent apologies for his absence at the meeting.</w:t>
      </w:r>
    </w:p>
    <w:p>
      <w:pPr>
        <w:pStyle w:val="Text"/>
        <w:ind w:hanging="0" w:end="0"/>
        <w:jc w:val="both"/>
        <w:rPr/>
      </w:pPr>
      <w:r>
        <w:rPr/>
        <w:t>Mr. Adam Overfield stated that he would fulfill the function of the Chairman of the Meeting of the Supervisory Board.</w:t>
      </w:r>
    </w:p>
    <w:p>
      <w:pPr>
        <w:pStyle w:val="Text"/>
        <w:ind w:hanging="0" w:end="0"/>
        <w:jc w:val="both"/>
        <w:rPr/>
      </w:pPr>
      <w:r>
        <w:rPr/>
        <w:t>The Supervisory Board of ENS hereby adopts the following resolutions:</w:t>
      </w:r>
    </w:p>
    <w:p>
      <w:pPr>
        <w:pStyle w:val="Text"/>
        <w:numPr>
          <w:ilvl w:val="0"/>
          <w:numId w:val="3"/>
        </w:numPr>
        <w:jc w:val="both"/>
        <w:rPr/>
      </w:pPr>
      <w:r>
        <w:rPr/>
        <w:t>Resolution concerning the approval of the update of ENS budget for 2001.</w:t>
      </w:r>
    </w:p>
    <w:p>
      <w:pPr>
        <w:pStyle w:val="Text"/>
        <w:numPr>
          <w:ilvl w:val="0"/>
          <w:numId w:val="3"/>
        </w:numPr>
        <w:jc w:val="both"/>
        <w:rPr/>
      </w:pPr>
      <w:r>
        <w:rPr/>
        <w:t>Resolution on approval of the change in the ENS organization chart, and the creation of a new position.</w:t>
      </w:r>
    </w:p>
    <w:p>
      <w:pPr>
        <w:pStyle w:val="Text"/>
        <w:numPr>
          <w:ilvl w:val="0"/>
          <w:numId w:val="3"/>
        </w:numPr>
        <w:jc w:val="both"/>
        <w:rPr/>
      </w:pPr>
      <w:r>
        <w:rPr/>
        <w:t xml:space="preserve">Resolution concerning the approval of the donations recommended by ENS Management Board. </w:t>
      </w:r>
    </w:p>
    <w:p>
      <w:pPr>
        <w:pStyle w:val="Text"/>
        <w:numPr>
          <w:ilvl w:val="0"/>
          <w:numId w:val="3"/>
        </w:numPr>
        <w:jc w:val="both"/>
        <w:rPr/>
      </w:pPr>
      <w:r>
        <w:rPr/>
        <w:t>Resolution on approval of the ENS O&amp;M Budget for year 2002.</w:t>
      </w:r>
    </w:p>
    <w:p>
      <w:pPr>
        <w:pStyle w:val="Text"/>
        <w:numPr>
          <w:ilvl w:val="0"/>
          <w:numId w:val="3"/>
        </w:numPr>
        <w:jc w:val="both"/>
        <w:rPr/>
      </w:pPr>
      <w:r>
        <w:rPr/>
        <w:t xml:space="preserve">Resolution concerning the appointment of Mr. Aleksander Zarębski for the position of Plant Manager. </w:t>
      </w:r>
    </w:p>
    <w:p>
      <w:pPr>
        <w:pStyle w:val="Text"/>
        <w:numPr>
          <w:ilvl w:val="0"/>
          <w:numId w:val="3"/>
        </w:numPr>
        <w:jc w:val="both"/>
        <w:rPr/>
      </w:pPr>
      <w:r>
        <w:rPr/>
        <w:t>Resolution concerning the remuneration of Mr. Aleksander Zarębski for fulfillment of his duties as Plant Manager, and for fulfillment of his duties as a member of ENS Management Board.</w:t>
      </w:r>
    </w:p>
    <w:p>
      <w:pPr>
        <w:pStyle w:val="Text"/>
        <w:numPr>
          <w:ilvl w:val="0"/>
          <w:numId w:val="3"/>
        </w:numPr>
        <w:jc w:val="both"/>
        <w:rPr/>
      </w:pPr>
      <w:r>
        <w:rPr/>
        <w:t xml:space="preserve">Resolution concerning the appointment of Mr. Mirosław Rokicki for the position of O&amp;M Supervisor. </w:t>
      </w:r>
    </w:p>
    <w:p>
      <w:pPr>
        <w:pStyle w:val="Text"/>
        <w:numPr>
          <w:ilvl w:val="0"/>
          <w:numId w:val="3"/>
        </w:numPr>
        <w:jc w:val="both"/>
        <w:rPr/>
      </w:pPr>
      <w:r>
        <w:rPr/>
        <w:t xml:space="preserve">Resolution concerning the remuneration of Mr. Mirosław Rokicki for fulfillment of his duties as O&amp;M Supervisor. Execution of his new Employment Agreement. </w:t>
      </w:r>
    </w:p>
    <w:p>
      <w:pPr>
        <w:pStyle w:val="Text"/>
        <w:numPr>
          <w:ilvl w:val="0"/>
          <w:numId w:val="3"/>
        </w:numPr>
        <w:jc w:val="both"/>
        <w:rPr/>
      </w:pPr>
      <w:r>
        <w:rPr/>
        <w:t>Resolution concerning the remuneration of Mr. Jacek Głowacki for fulfillment of his duties as General Manager, and for fulfillment of his duties as President of the ENS Management Board.</w:t>
      </w:r>
    </w:p>
    <w:p>
      <w:pPr>
        <w:pStyle w:val="Normal"/>
        <w:numPr>
          <w:ilvl w:val="0"/>
          <w:numId w:val="3"/>
        </w:numPr>
        <w:tabs>
          <w:tab w:val="clear" w:pos="720"/>
          <w:tab w:val="left" w:pos="780" w:leader="none"/>
        </w:tabs>
        <w:ind w:hanging="720" w:start="780" w:end="0"/>
        <w:jc w:val="both"/>
        <w:rPr/>
      </w:pPr>
      <w:r>
        <w:rPr/>
        <w:t>Resolution giving consent to the Management Board assigning all the Company’s rights and obligations to vehicle Alfa Romeo 166 owned by the Company, towards Centrum Likwidacji Szkód i Oceny Ryzyka PZU S.A. with its seat in Kraków.”</w:t>
      </w:r>
    </w:p>
    <w:p>
      <w:pPr>
        <w:pStyle w:val="Text"/>
        <w:spacing w:before="0" w:after="480"/>
        <w:ind w:hanging="0" w:end="0"/>
        <w:jc w:val="both"/>
        <w:rPr/>
      </w:pPr>
      <w:r>
        <w:rPr/>
      </w:r>
    </w:p>
    <w:p>
      <w:pPr>
        <w:pStyle w:val="Text"/>
        <w:spacing w:before="0" w:after="480"/>
        <w:ind w:hanging="0" w:end="0"/>
        <w:jc w:val="both"/>
        <w:rPr/>
      </w:pPr>
      <w:r>
        <w:rPr/>
        <w:t>There being no other items on the agenda the meeting was closed by the Chairman.</w:t>
      </w:r>
    </w:p>
    <w:p>
      <w:pPr>
        <w:pStyle w:val="Text"/>
        <w:spacing w:before="0" w:after="480"/>
        <w:ind w:hanging="0" w:end="0"/>
        <w:jc w:val="both"/>
        <w:rPr/>
      </w:pPr>
      <w:r>
        <w:rPr/>
      </w:r>
    </w:p>
    <w:p>
      <w:pPr>
        <w:pStyle w:val="Text"/>
        <w:spacing w:before="0" w:after="0"/>
        <w:ind w:firstLine="720" w:start="5760" w:end="0"/>
        <w:jc w:val="both"/>
        <w:rPr/>
      </w:pPr>
      <w:r>
        <w:rPr/>
        <w:t>____________________</w:t>
      </w:r>
    </w:p>
    <w:p>
      <w:pPr>
        <w:pStyle w:val="Text"/>
        <w:ind w:firstLine="720" w:start="6480" w:end="0"/>
        <w:jc w:val="both"/>
        <w:rPr/>
      </w:pPr>
      <w:r>
        <w:rPr/>
        <w:t>Chairman</w:t>
      </w:r>
    </w:p>
    <w:p>
      <w:pPr>
        <w:pStyle w:val="Text"/>
        <w:ind w:hanging="0" w:end="0"/>
        <w:jc w:val="both"/>
        <w:rPr/>
      </w:pPr>
      <w:r>
        <w:rPr/>
      </w:r>
    </w:p>
    <w:p>
      <w:pPr>
        <w:pStyle w:val="Normal"/>
        <w:spacing w:before="0" w:after="240"/>
        <w:jc w:val="both"/>
        <w:rPr/>
      </w:pPr>
      <w:r>
        <w:rPr/>
      </w:r>
      <w:r>
        <w:br w:type="page"/>
      </w:r>
    </w:p>
    <w:p>
      <w:pPr>
        <w:pStyle w:val="Text"/>
        <w:ind w:hanging="0" w:end="0"/>
        <w:jc w:val="both"/>
        <w:rPr/>
      </w:pPr>
      <w:r>
        <w:rPr/>
      </w:r>
    </w:p>
    <w:p>
      <w:pPr>
        <w:pStyle w:val="Text"/>
        <w:ind w:hanging="0" w:end="0"/>
        <w:jc w:val="center"/>
        <w:rPr>
          <w:b/>
          <w:u w:val="single"/>
        </w:rPr>
      </w:pPr>
      <w:r>
        <w:rPr>
          <w:b/>
        </w:rPr>
        <w:t>RESOLUTION NO. 1</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w:t>
      </w:r>
      <w:r>
        <w:rPr>
          <w:lang w:val="en-GB"/>
        </w:rPr>
        <w:t>Following the Management Board resolution dated October 3, 2001 on the update of ENS O&amp;M Budget for 2001 and the creation of an investment budget for 2001 the Supervisory Board according to Par. 14.3.(3) of the Company’s Articles of Association approves the ENS budget update for the year 2001 in the amount of USD 5.438 thousand. This figure cannot be exceeded by 5 % in aggregate and 10 % in each sub-total line of the budget without approval of the Supervisory Board.</w:t>
      </w:r>
    </w:p>
    <w:p>
      <w:pPr>
        <w:pStyle w:val="Text"/>
        <w:ind w:hanging="0" w:end="0"/>
        <w:jc w:val="both"/>
        <w:rPr>
          <w:lang w:val="en-GB"/>
        </w:rPr>
      </w:pPr>
      <w:r>
        <w:rPr>
          <w:lang w:val="en-GB"/>
        </w:rPr>
        <w:t>The Supervisory Board according to Par. 14.3.(3) of the Articles of Association approves the ENS investment budget for 2001 for computer purchases and the construction of a technical gas storage building, total amount: USD 57.000. This figure cannot be exceeded by 5% in aggregate and 10 % in each sub-total line of the budget without approval of the Supervisory Board.”</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p>
    <w:p>
      <w:pPr>
        <w:pStyle w:val="Text"/>
        <w:ind w:hanging="0" w:end="0"/>
        <w:jc w:val="both"/>
        <w:rPr/>
      </w:pPr>
      <w:r>
        <w:rPr/>
      </w:r>
      <w:r>
        <w:br w:type="page"/>
      </w:r>
    </w:p>
    <w:p>
      <w:pPr>
        <w:pStyle w:val="Text"/>
        <w:ind w:hanging="0" w:end="0"/>
        <w:jc w:val="center"/>
        <w:rPr>
          <w:b/>
        </w:rPr>
      </w:pPr>
      <w:r>
        <w:rPr>
          <w:b/>
        </w:rPr>
        <w:t>RESOLUTION NO 2.</w:t>
      </w:r>
    </w:p>
    <w:p>
      <w:pPr>
        <w:pStyle w:val="Normal"/>
        <w:spacing w:before="0" w:after="240"/>
        <w:jc w:val="both"/>
        <w:rPr/>
      </w:pPr>
      <w:r>
        <w:rPr>
          <w:lang w:val="en-GB"/>
        </w:rPr>
        <w:t>“</w:t>
      </w:r>
      <w:r>
        <w:rPr>
          <w:lang w:val="en-GB"/>
        </w:rPr>
        <w:t xml:space="preserve">Following the Management Board resolution dated October 3, 2001 on the change of the ENS organisation chart so that the administration department will be supervised by the Finance Director and the proposal to create a position of </w:t>
      </w:r>
      <w:r>
        <w:rPr>
          <w:i/>
          <w:lang w:val="en-GB"/>
        </w:rPr>
        <w:t>Maintenance &amp; EHS Co-ordinator</w:t>
      </w:r>
      <w:r>
        <w:rPr>
          <w:lang w:val="en-GB"/>
        </w:rPr>
        <w:t>, the Supervisory Board according to Par. 14.3.(18) of the Articles of Association approves these changes.”</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3.</w:t>
      </w:r>
    </w:p>
    <w:p>
      <w:pPr>
        <w:pStyle w:val="BodyText"/>
        <w:tabs>
          <w:tab w:val="clear" w:pos="720"/>
          <w:tab w:val="clear" w:pos="1440"/>
          <w:tab w:val="clear" w:pos="2160"/>
          <w:tab w:val="clear" w:pos="2880"/>
          <w:tab w:val="clear" w:pos="3600"/>
          <w:tab w:val="clear" w:pos="4320"/>
        </w:tabs>
        <w:spacing w:before="0" w:after="240"/>
        <w:rPr>
          <w:lang w:val="en-GB" w:eastAsia="pl-PL"/>
        </w:rPr>
      </w:pPr>
      <w:r>
        <w:rPr>
          <w:lang w:val="en-GB" w:eastAsia="pl-PL"/>
        </w:rPr>
        <w:t>“</w:t>
      </w:r>
      <w:r>
        <w:rPr>
          <w:lang w:val="en-GB" w:eastAsia="pl-PL"/>
        </w:rPr>
        <w:t>Following the Management Board resolution dated October 3, on the recommendation of the following donation requests from the following institutions:</w:t>
      </w:r>
    </w:p>
    <w:p>
      <w:pPr>
        <w:pStyle w:val="Normal"/>
        <w:numPr>
          <w:ilvl w:val="0"/>
          <w:numId w:val="2"/>
        </w:numPr>
        <w:spacing w:before="0" w:after="240"/>
        <w:jc w:val="both"/>
        <w:rPr>
          <w:lang w:val="en-GB"/>
        </w:rPr>
      </w:pPr>
      <w:r>
        <w:rPr>
          <w:lang w:val="en-GB"/>
        </w:rPr>
        <w:t>Komendy Powiatowej Policji w Leżajsku (Powiat Police Headquarters) – financial support for public safety, amount: 1.500 PLN;</w:t>
      </w:r>
    </w:p>
    <w:p>
      <w:pPr>
        <w:pStyle w:val="Normal"/>
        <w:numPr>
          <w:ilvl w:val="0"/>
          <w:numId w:val="2"/>
        </w:numPr>
        <w:spacing w:before="0" w:after="240"/>
        <w:jc w:val="both"/>
        <w:rPr>
          <w:lang w:val="en-GB"/>
        </w:rPr>
      </w:pPr>
      <w:r>
        <w:rPr>
          <w:lang w:val="en-GB"/>
        </w:rPr>
        <w:t>Stowarzyszenia Rodziców Dzieci Niepełnosprawnych w Sarzynie (Association of the Disabled Children’ Parents in Sarzyna) – donation for a minibus purchase for the needs of the local disabled children’s home; amount: 4.000PLN; and</w:t>
      </w:r>
    </w:p>
    <w:p>
      <w:pPr>
        <w:pStyle w:val="Normal"/>
        <w:numPr>
          <w:ilvl w:val="0"/>
          <w:numId w:val="2"/>
        </w:numPr>
        <w:spacing w:before="0" w:after="240"/>
        <w:jc w:val="both"/>
        <w:rPr>
          <w:lang w:val="en-GB"/>
        </w:rPr>
      </w:pPr>
      <w:r>
        <w:rPr>
          <w:lang w:val="en-GB"/>
        </w:rPr>
        <w:t>Poradni Psychologiczno – Pedagogicznej w Leżajsku (Psychological and Pedagogical Counselling Centre)– financial support for issuing a “Parental Guidelines Circular”; amount: 1.000 PLN.”</w:t>
      </w:r>
    </w:p>
    <w:p>
      <w:pPr>
        <w:pStyle w:val="Normal"/>
        <w:spacing w:before="0" w:after="240"/>
        <w:jc w:val="both"/>
        <w:rPr>
          <w:lang w:val="en-GB"/>
        </w:rPr>
      </w:pPr>
      <w:r>
        <w:rPr>
          <w:lang w:val="en-GB"/>
        </w:rPr>
        <w:t xml:space="preserve">the Supervisory Board approves these donations. </w:t>
      </w:r>
    </w:p>
    <w:p>
      <w:pPr>
        <w:pStyle w:val="Normal"/>
        <w:spacing w:before="0" w:after="240"/>
        <w:jc w:val="both"/>
        <w:rPr>
          <w:lang w:val="en-GB"/>
        </w:rPr>
      </w:pPr>
      <w:r>
        <w:rPr>
          <w:lang w:val="en-GB"/>
        </w:rPr>
        <w:t>For the future the Supervisory Board gives the Management Board the power to select and donate requests without written Supervisory Board permission up to an amount of USD 500 each, in compliance with the budgetary resources.”</w:t>
      </w:r>
    </w:p>
    <w:p>
      <w:pPr>
        <w:pStyle w:val="Normal"/>
        <w:spacing w:before="0" w:after="240"/>
        <w:jc w:val="both"/>
        <w:rPr/>
      </w:pPr>
      <w:r>
        <w:rPr/>
        <w:t>The resolution was adopted unanimously.</w:t>
      </w:r>
    </w:p>
    <w:p>
      <w:pPr>
        <w:pStyle w:val="Normal"/>
        <w:spacing w:before="0" w:after="24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jc w:val="center"/>
        <w:rPr/>
      </w:pPr>
      <w:r>
        <w:rPr/>
        <w:t>7.</w:t>
        <w:tab/>
        <w:t>James V. Derrick, Jr.</w:t>
        <w:tab/>
        <w:tab/>
        <w:tab/>
        <w:tab/>
        <w:tab/>
        <w:tab/>
        <w:t>_____________________</w:t>
      </w:r>
      <w:r>
        <w:br w:type="page"/>
      </w:r>
    </w:p>
    <w:p>
      <w:pPr>
        <w:pStyle w:val="Text"/>
        <w:ind w:end="0"/>
        <w:jc w:val="center"/>
        <w:rPr>
          <w:b/>
        </w:rPr>
      </w:pPr>
      <w:r>
        <w:rPr>
          <w:b/>
        </w:rPr>
        <w:t>RESOLUTION NO 4.</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w:t>
      </w:r>
      <w:r>
        <w:rPr>
          <w:lang w:val="en-GB"/>
        </w:rPr>
        <w:t xml:space="preserve">Following the Management Board resolution dated November 15, 2001 on the ENS Budget for 2002, the Supervisory Board according to Par. 14.3.(3) of the Articles of Association approves the ENS budget for the year 2002.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The figure indicated in the O&amp;M Budget cannot be exceeded by 5 % in aggregate and 10 % in each sub-total line of the budget without approval of the Supervisory Board.”</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both"/>
        <w:rPr/>
      </w:pPr>
      <w:r>
        <w:rPr/>
      </w:r>
    </w:p>
    <w:p>
      <w:pPr>
        <w:pStyle w:val="Text"/>
        <w:ind w:hanging="0" w:end="0"/>
        <w:jc w:val="center"/>
        <w:rPr>
          <w:b/>
        </w:rPr>
      </w:pPr>
      <w:r>
        <w:rPr>
          <w:b/>
        </w:rPr>
        <w:t xml:space="preserve">RESOLUTION NO 5. </w:t>
      </w:r>
    </w:p>
    <w:p>
      <w:pPr>
        <w:pStyle w:val="Normal"/>
        <w:spacing w:before="0" w:after="240"/>
        <w:jc w:val="both"/>
        <w:rPr/>
      </w:pPr>
      <w:r>
        <w:rPr>
          <w:lang w:val="en-GB"/>
        </w:rPr>
        <w:t>“</w:t>
      </w:r>
      <w:r>
        <w:rPr>
          <w:lang w:val="en-GB"/>
        </w:rPr>
        <w:t>According to Par 14.2(4) of the Articles of Association the Supervisory Board appoints Mr. Aleksander Zarębski to the position of Plant Manager as of November 1, 2001.”</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6.</w:t>
      </w:r>
    </w:p>
    <w:p>
      <w:pPr>
        <w:pStyle w:val="BodyText"/>
        <w:tabs>
          <w:tab w:val="clear" w:pos="720"/>
          <w:tab w:val="clear" w:pos="1440"/>
          <w:tab w:val="clear" w:pos="2160"/>
          <w:tab w:val="clear" w:pos="2880"/>
          <w:tab w:val="clear" w:pos="3600"/>
          <w:tab w:val="clear" w:pos="4320"/>
        </w:tabs>
        <w:spacing w:before="0" w:after="240"/>
        <w:rPr/>
      </w:pPr>
      <w:r>
        <w:rPr>
          <w:lang w:val="en-GB" w:eastAsia="pl-PL"/>
        </w:rPr>
        <w:t>“</w:t>
      </w:r>
      <w:r>
        <w:rPr>
          <w:lang w:val="en-GB" w:eastAsia="pl-PL"/>
        </w:rPr>
        <w:t>According to Par 14.2(7) of the Articles of Association, the Supervisory Board of ENS hereby establishes the amount of remuneration of Mr. Aleksander Zarębski for the fulfilment of his duties of Plant Manager in USD 20.000 (in words: twenty thousand US dollars) gross per annum, and for the fulfilment of his duties as the ENS Management Board Member in USD 35.000 (in words: thirty five thousand US dollars) gross per annum payable in twelve monthly instalments by credit transfer into an account nominated by Mr. Zarębski, in the PLN equivalent according to the average exchange rate of the National Bank of Poland applicable on the day of payment.”</w:t>
      </w:r>
    </w:p>
    <w:p>
      <w:pPr>
        <w:pStyle w:val="Text"/>
        <w:ind w:hanging="0" w:end="0"/>
        <w:jc w:val="both"/>
        <w:rPr/>
      </w:pPr>
      <w:r>
        <w:rPr/>
        <w:t>The Supervisory Board of ENS hereby authorizes Mr. Adam Overfield to execute the Appointment Letter and appropriate annexes to the employment agreement with Mr. Aleksander Zarębski on behalf of the Supervisory Board of ENS.”</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both"/>
        <w:rPr/>
      </w:pPr>
      <w:r>
        <w:rPr/>
      </w:r>
    </w:p>
    <w:p>
      <w:pPr>
        <w:pStyle w:val="Text"/>
        <w:ind w:hanging="0" w:end="0"/>
        <w:jc w:val="center"/>
        <w:rPr>
          <w:b/>
        </w:rPr>
      </w:pPr>
      <w:r>
        <w:rPr>
          <w:b/>
        </w:rPr>
        <w:t xml:space="preserve">RESOLUTION NO 7. </w:t>
      </w:r>
    </w:p>
    <w:p>
      <w:pPr>
        <w:pStyle w:val="Normal"/>
        <w:spacing w:before="0" w:after="240"/>
        <w:jc w:val="both"/>
        <w:rPr/>
      </w:pPr>
      <w:r>
        <w:rPr>
          <w:lang w:val="en-GB"/>
        </w:rPr>
        <w:t>“</w:t>
      </w:r>
      <w:r>
        <w:rPr>
          <w:lang w:val="en-GB"/>
        </w:rPr>
        <w:t>The Supervisory Board hereby appoints Mr. Mirosław Rokicki to the position of O&amp;M Supervisor as of November 1, 2001.”</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8.</w:t>
      </w:r>
    </w:p>
    <w:p>
      <w:pPr>
        <w:pStyle w:val="Normal"/>
        <w:spacing w:before="0" w:after="240"/>
        <w:jc w:val="both"/>
        <w:rPr/>
      </w:pPr>
      <w:r>
        <w:rPr>
          <w:lang w:val="en-GB"/>
        </w:rPr>
        <w:t>“</w:t>
      </w:r>
      <w:r>
        <w:rPr>
          <w:lang w:val="en-GB"/>
        </w:rPr>
        <w:t>The Supervisory Board of ENS hereby establishes the amount of remuneration for Mr. Mirosław Rokicki for the fulfilment of his duties as O&amp;M Supervisor in PLN 10.000 (in words: ten thousand zloty) gross per month, payable by credit transfer into an account nominated by Mr. Rokicki.</w:t>
      </w:r>
    </w:p>
    <w:p>
      <w:pPr>
        <w:pStyle w:val="Text"/>
        <w:ind w:hanging="0" w:end="0"/>
        <w:jc w:val="both"/>
        <w:rPr/>
      </w:pPr>
      <w:r>
        <w:rPr/>
        <w:t>The Supervisory Board of ENS hereby authorizes Mr. Adam Overfield to execute the Appointment Letter and a new employment agreement with Mr. Mirosław Rokicki on behalf of ENS Supervisory Board.”</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9.</w:t>
      </w:r>
    </w:p>
    <w:p>
      <w:pPr>
        <w:pStyle w:val="Normal"/>
        <w:spacing w:before="0" w:after="240"/>
        <w:jc w:val="both"/>
        <w:rPr/>
      </w:pPr>
      <w:r>
        <w:rPr>
          <w:lang w:val="en-GB"/>
        </w:rPr>
        <w:t>“</w:t>
      </w:r>
      <w:r>
        <w:rPr>
          <w:lang w:val="en-GB"/>
        </w:rPr>
        <w:t xml:space="preserve">According to Par 14.2(7) of the Articles of Association, the Supervisory Board of ENS hereby establishes the amount of remuneration of Mr. Jacek Głowacki for the fulfilment of his duties of General Manager in </w:t>
      </w:r>
      <w:r>
        <w:rPr>
          <w:color w:val="0000FF"/>
          <w:lang w:val="en-GB"/>
        </w:rPr>
        <w:t>USD ... (in words:</w:t>
      </w:r>
      <w:r>
        <w:rPr>
          <w:lang w:val="en-GB"/>
        </w:rPr>
        <w:t xml:space="preserve"> ) gross per annum, and for the fulfilment of his duties as President of the Management Board in </w:t>
      </w:r>
      <w:r>
        <w:rPr>
          <w:color w:val="0000FF"/>
          <w:lang w:val="en-GB"/>
        </w:rPr>
        <w:t>USD ... (in words:</w:t>
      </w:r>
      <w:r>
        <w:rPr>
          <w:lang w:val="en-GB"/>
        </w:rPr>
        <w:t xml:space="preserve"> ) gross per annum payable in twelve monthly instalments by credit transfer into an account nominated by Mr.Głowacki, in the PLN equivalent according to the average exchange rate of the National Bank of Poland applicable on the day of payment.</w:t>
      </w:r>
    </w:p>
    <w:p>
      <w:pPr>
        <w:pStyle w:val="Text"/>
        <w:ind w:hanging="0" w:end="0"/>
        <w:jc w:val="both"/>
        <w:rPr/>
      </w:pPr>
      <w:r>
        <w:rPr/>
        <w:t>The Supervisory Board of ENS hereby authorizes Mr. Adam Overfield to execute appropriate annexes to the employment agreement with Mr. Jacek Głowacki on behalf of the Supervisory Board of ENS.”</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p>
    <w:p>
      <w:pPr>
        <w:pStyle w:val="Text"/>
        <w:ind w:hanging="0" w:end="0"/>
        <w:jc w:val="both"/>
        <w:rPr/>
      </w:pPr>
      <w:r>
        <w:rPr/>
      </w:r>
    </w:p>
    <w:p>
      <w:pPr>
        <w:pStyle w:val="Text"/>
        <w:spacing w:before="0" w:after="0"/>
        <w:ind w:hanging="0" w:end="0"/>
        <w:jc w:val="center"/>
        <w:rPr>
          <w:b/>
        </w:rPr>
      </w:pPr>
      <w:r>
        <w:rPr>
          <w:b/>
        </w:rPr>
      </w:r>
      <w:r>
        <w:br w:type="page"/>
      </w:r>
    </w:p>
    <w:p>
      <w:pPr>
        <w:pStyle w:val="Text"/>
        <w:ind w:hanging="0" w:end="0"/>
        <w:jc w:val="center"/>
        <w:rPr>
          <w:b/>
        </w:rPr>
      </w:pPr>
      <w:r>
        <w:rPr>
          <w:b/>
        </w:rPr>
        <w:t>RESOLUTION NO 10.</w:t>
      </w:r>
    </w:p>
    <w:p>
      <w:pPr>
        <w:pStyle w:val="Normal"/>
        <w:jc w:val="both"/>
        <w:rPr/>
      </w:pPr>
      <w:r>
        <w:rPr/>
        <w:t>“</w:t>
      </w:r>
      <w:r>
        <w:rPr/>
        <w:t xml:space="preserve">Acting on the basis of </w:t>
      </w:r>
      <w:r>
        <w:rPr>
          <w:rFonts w:eastAsia="Times New Roman" w:cs="Times New Roman"/>
        </w:rPr>
        <w:t>§</w:t>
      </w:r>
      <w:r>
        <w:rPr/>
        <w:t xml:space="preserve">14, Item 3 of the Company’s Articles of Association, the Supervisory Board of the Company hereby consents to the Management Board assigning all the Company’s rights  and obligations to vehicle </w:t>
      </w:r>
      <w:r>
        <w:rPr>
          <w:color w:val="000000"/>
        </w:rPr>
        <w:t>Alfa Romeo 166 with an engine capacity of 2492 cm</w:t>
      </w:r>
      <w:r>
        <w:rPr>
          <w:color w:val="000000"/>
          <w:vertAlign w:val="superscript"/>
        </w:rPr>
        <w:t>3</w:t>
      </w:r>
      <w:r>
        <w:rPr>
          <w:color w:val="000000"/>
        </w:rPr>
        <w:t>, year of production 2000, engine No. AR342010005523, exclusively owned by the Company, to Centrum Likwidacji Szkód i Oceny Ryzyka Powszechnego Zakładu Ubezpieczeń S.A. with its seat in Kraków at ul. Dunajewskiego 3.”</w:t>
      </w:r>
    </w:p>
    <w:p>
      <w:pPr>
        <w:pStyle w:val="BaseTimes"/>
        <w:rPr/>
      </w:pPr>
      <w:r>
        <w:rPr/>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p>
    <w:p>
      <w:pPr>
        <w:pStyle w:val="Text"/>
        <w:ind w:hanging="0" w:end="0"/>
        <w:jc w:val="both"/>
        <w:rPr/>
      </w:pPr>
      <w:r>
        <w:rPr/>
      </w:r>
    </w:p>
    <w:p>
      <w:pPr>
        <w:pStyle w:val="Text"/>
        <w:spacing w:before="0" w:after="0"/>
        <w:ind w:hanging="0" w:end="0"/>
        <w:jc w:val="center"/>
        <w:rPr>
          <w:b/>
        </w:rPr>
      </w:pPr>
      <w:r>
        <w:rPr>
          <w:b/>
        </w:rPr>
      </w:r>
      <w:r>
        <w:br w:type="page"/>
      </w:r>
    </w:p>
    <w:p>
      <w:pPr>
        <w:pStyle w:val="Text"/>
        <w:spacing w:before="0" w:after="0"/>
        <w:ind w:hanging="0" w:end="0"/>
        <w:jc w:val="center"/>
        <w:rPr>
          <w:b/>
        </w:rPr>
      </w:pPr>
      <w:r>
        <w:rPr>
          <w:b/>
        </w:rPr>
        <w:t>ATTENDANCE LIST</w:t>
      </w:r>
    </w:p>
    <w:p>
      <w:pPr>
        <w:pStyle w:val="Text"/>
        <w:spacing w:before="0" w:after="0"/>
        <w:ind w:hanging="0" w:end="0"/>
        <w:jc w:val="center"/>
        <w:rPr>
          <w:b/>
        </w:rPr>
      </w:pPr>
      <w:r>
        <w:rPr>
          <w:b/>
        </w:rPr>
        <w:t>FOR THE MEETING OF THE SUPERVISORY BOARD</w:t>
      </w:r>
    </w:p>
    <w:p>
      <w:pPr>
        <w:pStyle w:val="Text"/>
        <w:spacing w:before="0" w:after="0"/>
        <w:ind w:hanging="0" w:end="0"/>
        <w:jc w:val="center"/>
        <w:rPr>
          <w:b/>
        </w:rPr>
      </w:pPr>
      <w:r>
        <w:rPr>
          <w:b/>
        </w:rPr>
        <w:t>OF ELEKTROCIEPŁOWNIA NOWA SARZYNA Sp. z o. o.</w:t>
      </w:r>
    </w:p>
    <w:p>
      <w:pPr>
        <w:pStyle w:val="Text"/>
        <w:ind w:hanging="0" w:end="0"/>
        <w:jc w:val="center"/>
        <w:rPr>
          <w:b/>
        </w:rPr>
      </w:pPr>
      <w:r>
        <w:rPr>
          <w:b/>
        </w:rPr>
        <w:t>WITH ITS SEAT IN NOWA SARZYNA</w:t>
      </w:r>
    </w:p>
    <w:p>
      <w:pPr>
        <w:pStyle w:val="Text"/>
        <w:ind w:hanging="0" w:end="0"/>
        <w:jc w:val="center"/>
        <w:rPr>
          <w:b/>
        </w:rPr>
      </w:pPr>
      <w:r>
        <w:rPr>
          <w:b/>
        </w:rPr>
        <w:t>dated November 20, 2001</w:t>
      </w:r>
    </w:p>
    <w:p>
      <w:pPr>
        <w:pStyle w:val="Text"/>
        <w:ind w:hanging="0" w:end="0"/>
        <w:rPr>
          <w:b/>
        </w:rPr>
      </w:pPr>
      <w:r>
        <w:rPr>
          <w:b/>
        </w:rPr>
      </w:r>
    </w:p>
    <w:p>
      <w:pPr>
        <w:pStyle w:val="Text"/>
        <w:ind w:hanging="0" w:end="0"/>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spacing w:before="0" w:after="240"/>
        <w:ind w:hanging="0" w:end="0"/>
        <w:rPr/>
      </w:pPr>
      <w:r>
        <w:rPr/>
        <w:t>7.</w:t>
        <w:tab/>
        <w:t>James V. Derrick, Jr.</w:t>
        <w:tab/>
        <w:tab/>
        <w:tab/>
        <w:tab/>
        <w:tab/>
        <w:tab/>
        <w:t>_____________________</w:t>
      </w:r>
    </w:p>
    <w:sectPr>
      <w:footerReference w:type="default" r:id="rId2"/>
      <w:footerReference w:type="first" r:id="rId3"/>
      <w:type w:val="nextPage"/>
      <w:pgSz w:w="11906" w:h="16838"/>
      <w:pgMar w:left="1440" w:right="1440" w:gutter="0" w:header="0" w:top="1417" w:footer="85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t>-</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9.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w:t>
    </w:r>
    <w:r>
      <w:rPr/>
      <w:fldChar w:fldCharType="end"/>
    </w:r>
    <w:r>
      <w:rPr/>
      <w:t xml:space="preserve"> -</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4572000" cy="548640"/>
              <wp:effectExtent l="0" t="0" r="0" b="0"/>
              <wp:wrapSquare wrapText="bothSides"/>
              <wp:docPr id="2" name="Frame1"/>
              <a:graphic xmlns:a="http://schemas.openxmlformats.org/drawingml/2006/main">
                <a:graphicData uri="http://schemas.microsoft.com/office/word/2010/wordprocessingShape">
                  <wps:wsp>
                    <wps:cNvSpPr txBox="1"/>
                    <wps:spPr>
                      <a:xfrm>
                        <a:off x="0" y="0"/>
                        <a:ext cx="4572000" cy="548640"/>
                      </a:xfrm>
                      <a:prstGeom prst="rect"/>
                      <a:solidFill>
                        <a:srgbClr val="FFFFFF">
                          <a:alpha val="0"/>
                        </a:srgbClr>
                      </a:solidFill>
                    </wps:spPr>
                    <wps:txbx>
                      <w:txbxContent>
                        <w:p>
                          <w:pPr>
                            <w:pStyle w:val="LongDocNameWC"/>
                            <w:rPr/>
                          </w:pPr>
                          <w:r>
                            <w:rPr/>
                            <w:fldChar w:fldCharType="begin"/>
                          </w:r>
                          <w:r>
                            <w:rPr/>
                            <w:instrText xml:space="preserve"> KEYWORDS </w:instrText>
                          </w:r>
                          <w:r>
                            <w:rPr/>
                            <w:fldChar w:fldCharType="separate"/>
                          </w:r>
                          <w:r>
                            <w:rPr/>
                          </w:r>
                          <w:r>
                            <w:rPr/>
                            <w:fldChar w:fldCharType="end"/>
                          </w:r>
                          <w:r>
                            <w:rPr/>
                            <w:t xml:space="preserve">  </w:t>
                          </w:r>
                        </w:p>
                      </w:txbxContent>
                    </wps:txbx>
                    <wps:bodyPr anchor="t" lIns="0" tIns="0" rIns="0" bIns="0">
                      <a:noAutofit/>
                    </wps:bodyPr>
                  </wps:wsp>
                </a:graphicData>
              </a:graphic>
            </wp:anchor>
          </w:drawing>
        </mc:Choice>
        <mc:Fallback>
          <w:pict>
            <v:rect fillcolor="#FFFFFF" style="position:absolute;rotation:-0;width:360pt;height:43.2pt;mso-wrap-distance-left:0pt;mso-wrap-distance-right:0pt;mso-wrap-distance-top:0pt;mso-wrap-distance-bottom:0pt;margin-top:798.7pt;mso-position-vertical:bottom;mso-position-vertical-relative:page;margin-left:72.05pt;mso-position-horizontal-relative:page">
              <v:fill opacity="0f"/>
              <v:textbox inset="0in,0in,0in,0in">
                <w:txbxContent>
                  <w:p>
                    <w:pPr>
                      <w:pStyle w:val="LongDocNameWC"/>
                      <w:rPr/>
                    </w:pPr>
                    <w:r>
                      <w:rPr/>
                      <w:fldChar w:fldCharType="begin"/>
                    </w:r>
                    <w:r>
                      <w:rPr/>
                      <w:instrText xml:space="preserve"> KEYWORDS </w:instrText>
                    </w:r>
                    <w:r>
                      <w:rPr/>
                      <w:fldChar w:fldCharType="separate"/>
                    </w:r>
                    <w:r>
                      <w:rPr/>
                    </w:r>
                    <w:r>
                      <w:rPr/>
                      <w:fldChar w:fldCharType="end"/>
                    </w:r>
                    <w:r>
                      <w:rPr/>
                      <w:t xml:space="preserve">  </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pl-PL"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u w:val="none"/>
    </w:rPr>
  </w:style>
  <w:style w:type="character" w:styleId="WW8Num12z0">
    <w:name w:val="WW8Num12z0"/>
    <w:qFormat/>
    <w:rPr/>
  </w:style>
  <w:style w:type="character" w:styleId="WW8Num13z0">
    <w:name w:val="WW8Num13z0"/>
    <w:qFormat/>
    <w:rPr/>
  </w:style>
  <w:style w:type="character" w:styleId="Domylnaczcionkaakapitu">
    <w:name w:val="Domyślna czcionka akapitu"/>
    <w:qFormat/>
    <w:rPr/>
  </w:style>
  <w:style w:type="character" w:styleId="PageNumber">
    <w:name w:val="page number"/>
    <w:basedOn w:val="Domylnaczcionkaakapitu"/>
    <w:rPr/>
  </w:style>
  <w:style w:type="character" w:styleId="EndnoteCharacters">
    <w:name w:val="Endnote Characters"/>
    <w:basedOn w:val="Domylnaczcionkaakapitu"/>
    <w:qFormat/>
    <w:rPr>
      <w:color w:val="auto"/>
      <w:spacing w:val="0"/>
      <w:kern w:val="0"/>
      <w:sz w:val="24"/>
      <w:u w:val="none"/>
      <w:vertAlign w:val="superscript"/>
    </w:rPr>
  </w:style>
  <w:style w:type="character" w:styleId="FootnoteCharacters">
    <w:name w:val="Footnote Characters"/>
    <w:basedOn w:val="Domylnaczcionkaakapitu"/>
    <w:qFormat/>
    <w:rPr>
      <w:color w:val="auto"/>
      <w:spacing w:val="0"/>
      <w:kern w:val="0"/>
      <w:sz w:val="24"/>
      <w:u w:val="none"/>
      <w:vertAlign w:val="superscript"/>
    </w:rPr>
  </w:style>
  <w:style w:type="character" w:styleId="CharBaseArial">
    <w:name w:val="CharBaseArial"/>
    <w:qFormat/>
    <w:rPr>
      <w:rFonts w:ascii="Arial" w:hAnsi="Arial" w:cs="Arial"/>
      <w:sz w:val="24"/>
      <w:lang w:val="en-US"/>
    </w:rPr>
  </w:style>
  <w:style w:type="character" w:styleId="CharBaseTimes">
    <w:name w:val="CharBaseTimes"/>
    <w:qFormat/>
    <w:rPr>
      <w:rFonts w:ascii="Times New Roman" w:hAnsi="Times New Roman" w:cs="Times New Roman"/>
      <w:sz w:val="24"/>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s>
      <w:spacing w:before="0" w:after="1200"/>
      <w:jc w:val="both"/>
    </w:pPr>
    <w:rPr>
      <w:lang w:val="pl-PL"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seTimes">
    <w:name w:val="BaseTimes"/>
    <w:qFormat/>
    <w:pPr>
      <w:widowControl/>
      <w:bidi w:val="0"/>
    </w:pPr>
    <w:rPr>
      <w:rFonts w:ascii="Times New Roman" w:hAnsi="Times New Roman" w:eastAsia="Times New Roman" w:cs="Times New Roman"/>
      <w:color w:val="auto"/>
      <w:sz w:val="24"/>
      <w:szCs w:val="20"/>
      <w:lang w:val="en-US" w:eastAsia="pl-PL" w:bidi="hi-IN"/>
    </w:rPr>
  </w:style>
  <w:style w:type="paragraph" w:styleId="FootnoteText">
    <w:name w:val="footnote text"/>
    <w:basedOn w:val="BaseTimes"/>
    <w:pPr>
      <w:tabs>
        <w:tab w:val="clear" w:pos="720"/>
        <w:tab w:val="left" w:pos="432" w:leader="none"/>
      </w:tabs>
      <w:spacing w:before="0" w:after="240"/>
      <w:ind w:hanging="432" w:start="432" w:end="0"/>
    </w:pPr>
    <w:rPr/>
  </w:style>
  <w:style w:type="paragraph" w:styleId="DraftLineWC">
    <w:name w:val="DraftLineW&amp;C"/>
    <w:basedOn w:val="BaseTimes"/>
    <w:qFormat/>
    <w:pPr>
      <w:spacing w:before="0" w:after="240"/>
      <w:ind w:firstLine="720" w:start="0" w:end="0"/>
      <w:jc w:val="end"/>
    </w:pPr>
    <w:rPr>
      <w:sz w:val="20"/>
    </w:rPr>
  </w:style>
  <w:style w:type="paragraph" w:styleId="EndnoteText">
    <w:name w:val="endnote text"/>
    <w:basedOn w:val="BaseTimes"/>
    <w:pPr>
      <w:tabs>
        <w:tab w:val="clear" w:pos="720"/>
        <w:tab w:val="left" w:pos="432" w:leader="none"/>
      </w:tabs>
      <w:spacing w:before="0" w:after="240"/>
      <w:ind w:hanging="432" w:start="432" w:end="0"/>
    </w:pPr>
    <w:rPr/>
  </w:style>
  <w:style w:type="paragraph" w:styleId="Index1">
    <w:name w:val="index 1"/>
    <w:basedOn w:val="Normal"/>
    <w:next w:val="Normal"/>
    <w:pPr>
      <w:tabs>
        <w:tab w:val="clear" w:pos="720"/>
        <w:tab w:val="right" w:pos="9360" w:leader="dot"/>
      </w:tabs>
      <w:ind w:hanging="240" w:start="240" w:end="0"/>
    </w:pPr>
    <w:rPr/>
  </w:style>
  <w:style w:type="paragraph" w:styleId="Text">
    <w:name w:val="Text"/>
    <w:basedOn w:val="BaseTimes"/>
    <w:qFormat/>
    <w:pPr>
      <w:spacing w:before="0" w:after="240"/>
      <w:ind w:firstLine="1440" w:start="0" w:end="0"/>
    </w:pPr>
    <w:rPr/>
  </w:style>
  <w:style w:type="paragraph" w:styleId="DateStampWC">
    <w:name w:val="DateStampW&amp;C"/>
    <w:basedOn w:val="Normal"/>
    <w:qFormat/>
    <w:pPr>
      <w:widowControl w:val="false"/>
      <w:ind w:firstLine="1440" w:start="0" w:end="0"/>
    </w:pPr>
    <w:rPr>
      <w:b/>
      <w:sz w:val="12"/>
      <w:lang w:val="en-CA"/>
    </w:rPr>
  </w:style>
  <w:style w:type="paragraph" w:styleId="DateSTWC">
    <w:name w:val="DateSTW&amp;C"/>
    <w:basedOn w:val="BaseTimes"/>
    <w:qFormat/>
    <w:pPr/>
    <w:rPr>
      <w:sz w:val="12"/>
      <w:lang w:val="en-CA"/>
    </w:rPr>
  </w:style>
  <w:style w:type="paragraph" w:styleId="TOC1">
    <w:name w:val="toc 1"/>
    <w:basedOn w:val="BaseTimes"/>
    <w:pPr>
      <w:keepLines/>
      <w:tabs>
        <w:tab w:val="clear" w:pos="720"/>
        <w:tab w:val="right" w:pos="9360" w:leader="dot"/>
      </w:tabs>
      <w:spacing w:before="240" w:after="120"/>
      <w:ind w:hanging="720" w:start="720" w:end="576"/>
    </w:pPr>
    <w:rPr/>
  </w:style>
  <w:style w:type="paragraph" w:styleId="TOC2">
    <w:name w:val="toc 2"/>
    <w:basedOn w:val="BaseTimes"/>
    <w:pPr>
      <w:tabs>
        <w:tab w:val="clear" w:pos="720"/>
        <w:tab w:val="right" w:pos="9360" w:leader="dot"/>
      </w:tabs>
      <w:ind w:hanging="720" w:start="1440" w:end="576"/>
    </w:pPr>
    <w:rPr/>
  </w:style>
  <w:style w:type="paragraph" w:styleId="TOC3">
    <w:name w:val="toc 3"/>
    <w:basedOn w:val="BaseTimes"/>
    <w:pPr>
      <w:keepLines/>
      <w:tabs>
        <w:tab w:val="clear" w:pos="720"/>
        <w:tab w:val="right" w:pos="9360" w:leader="dot"/>
      </w:tabs>
      <w:ind w:hanging="720" w:start="2160" w:end="576"/>
    </w:pPr>
    <w:rPr/>
  </w:style>
  <w:style w:type="paragraph" w:styleId="TOC4">
    <w:name w:val="toc 4"/>
    <w:basedOn w:val="BaseTimes"/>
    <w:pPr>
      <w:keepLines/>
      <w:tabs>
        <w:tab w:val="clear" w:pos="720"/>
        <w:tab w:val="right" w:pos="9360" w:leader="dot"/>
      </w:tabs>
      <w:ind w:hanging="720" w:start="2880" w:end="576"/>
    </w:pPr>
    <w:rPr/>
  </w:style>
  <w:style w:type="paragraph" w:styleId="TOC11">
    <w:name w:val="TOC  1"/>
    <w:basedOn w:val="Text"/>
    <w:qFormat/>
    <w:pPr>
      <w:keepNext w:val="true"/>
      <w:keepLines/>
      <w:tabs>
        <w:tab w:val="clear" w:pos="720"/>
        <w:tab w:val="right" w:pos="9360" w:leader="dot"/>
      </w:tabs>
      <w:spacing w:before="240" w:after="120"/>
      <w:ind w:hanging="720" w:start="720" w:end="576"/>
    </w:pPr>
    <w:rPr/>
  </w:style>
  <w:style w:type="paragraph" w:styleId="BaseArial">
    <w:name w:val="BaseArial"/>
    <w:qFormat/>
    <w:pPr>
      <w:widowControl/>
      <w:bidi w:val="0"/>
    </w:pPr>
    <w:rPr>
      <w:rFonts w:ascii="Arial" w:hAnsi="Arial" w:eastAsia="Times New Roman" w:cs="Arial"/>
      <w:color w:val="auto"/>
      <w:sz w:val="24"/>
      <w:szCs w:val="20"/>
      <w:lang w:val="en-US" w:eastAsia="pl-PL" w:bidi="hi-IN"/>
    </w:rPr>
  </w:style>
  <w:style w:type="paragraph" w:styleId="SignatureBlock">
    <w:name w:val="SignatureBlock"/>
    <w:basedOn w:val="Text"/>
    <w:next w:val="Text"/>
    <w:qFormat/>
    <w:pPr>
      <w:keepLines/>
      <w:tabs>
        <w:tab w:val="clear" w:pos="720"/>
        <w:tab w:val="left" w:pos="5731" w:leader="none"/>
        <w:tab w:val="right" w:pos="9000" w:leader="none"/>
      </w:tabs>
      <w:spacing w:before="480" w:after="240"/>
      <w:ind w:hanging="360" w:start="5040" w:end="0"/>
    </w:pPr>
    <w:rPr/>
  </w:style>
  <w:style w:type="paragraph" w:styleId="Tekstmakra">
    <w:name w:val="Tekst makra"/>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7200"/>
    </w:pPr>
    <w:rPr>
      <w:rFonts w:ascii="Courier New" w:hAnsi="Courier New" w:eastAsia="Times New Roman" w:cs="Courier New"/>
      <w:color w:val="auto"/>
      <w:sz w:val="20"/>
      <w:szCs w:val="20"/>
      <w:lang w:val="en-US" w:eastAsia="pl-PL" w:bidi="hi-IN"/>
    </w:rPr>
  </w:style>
  <w:style w:type="paragraph" w:styleId="LongDocNameWC">
    <w:name w:val="LongDocNameW&amp;C"/>
    <w:basedOn w:val="Normal"/>
    <w:qFormat/>
    <w:pPr/>
    <w:rPr>
      <w:sz w:val="12"/>
      <w:lang w:val="en-CA"/>
    </w:rPr>
  </w:style>
  <w:style w:type="paragraph" w:styleId="IDSTWC">
    <w:name w:val="IDSTW&amp;C"/>
    <w:qFormat/>
    <w:pPr>
      <w:widowControl/>
      <w:bidi w:val="0"/>
    </w:pPr>
    <w:rPr>
      <w:rFonts w:ascii="Times New Roman" w:hAnsi="Times New Roman" w:eastAsia="Times New Roman" w:cs="Times New Roman"/>
      <w:color w:val="auto"/>
      <w:sz w:val="12"/>
      <w:szCs w:val="20"/>
      <w:lang w:eastAsia="pl-PL" w:val="en-CA" w:bidi="hi-IN"/>
    </w:rPr>
  </w:style>
  <w:style w:type="paragraph" w:styleId="IDWC">
    <w:name w:val="IDW&amp;C"/>
    <w:basedOn w:val="Normal"/>
    <w:qFormat/>
    <w:pPr>
      <w:widowControl w:val="false"/>
      <w:ind w:firstLine="1440" w:start="0" w:end="0"/>
    </w:pPr>
    <w:rPr>
      <w:sz w:val="12"/>
      <w:lang w:val="en-CA"/>
    </w:rPr>
  </w:style>
  <w:style w:type="paragraph" w:styleId="TOCHeading">
    <w:name w:val="TOCHeading"/>
    <w:basedOn w:val="Normal"/>
    <w:next w:val="Normal"/>
    <w:qFormat/>
    <w:pPr>
      <w:spacing w:lineRule="exact" w:line="240" w:before="0" w:after="480"/>
    </w:pPr>
    <w:rPr/>
  </w:style>
  <w:style w:type="paragraph" w:styleId="TOC21">
    <w:name w:val="TOC  2"/>
    <w:basedOn w:val="Text"/>
    <w:qFormat/>
    <w:pPr>
      <w:tabs>
        <w:tab w:val="left" w:pos="720" w:leader="none"/>
        <w:tab w:val="right" w:pos="9360" w:leader="dot"/>
      </w:tabs>
      <w:spacing w:before="0" w:after="0"/>
      <w:ind w:hanging="720" w:start="1440" w:end="576"/>
    </w:pPr>
    <w:rPr/>
  </w:style>
  <w:style w:type="paragraph" w:styleId="TOC31">
    <w:name w:val="TOC  3"/>
    <w:basedOn w:val="Text"/>
    <w:qFormat/>
    <w:pPr>
      <w:tabs>
        <w:tab w:val="left" w:pos="720" w:leader="none"/>
        <w:tab w:val="right" w:pos="9360" w:leader="dot"/>
      </w:tabs>
      <w:spacing w:before="0" w:after="0"/>
      <w:ind w:hanging="720" w:start="2160" w:end="576"/>
    </w:pPr>
    <w:rPr/>
  </w:style>
  <w:style w:type="paragraph" w:styleId="TOC41">
    <w:name w:val="TOC  4"/>
    <w:basedOn w:val="Text"/>
    <w:qFormat/>
    <w:pPr>
      <w:tabs>
        <w:tab w:val="left" w:pos="720" w:leader="none"/>
        <w:tab w:val="right" w:pos="9360" w:leader="dot"/>
      </w:tabs>
      <w:spacing w:before="0" w:after="0"/>
      <w:ind w:hanging="720" w:start="2880" w:end="576"/>
    </w:pPr>
    <w:rPr/>
  </w:style>
  <w:style w:type="paragraph" w:styleId="TOC5">
    <w:name w:val="TOC  5"/>
    <w:basedOn w:val="Text"/>
    <w:qFormat/>
    <w:pPr>
      <w:tabs>
        <w:tab w:val="left" w:pos="720" w:leader="none"/>
        <w:tab w:val="right" w:pos="9360" w:leader="dot"/>
      </w:tabs>
      <w:spacing w:before="0" w:after="0"/>
      <w:ind w:hanging="720" w:start="3600" w:end="576"/>
    </w:pPr>
    <w:rPr/>
  </w:style>
  <w:style w:type="paragraph" w:styleId="TOC6">
    <w:name w:val="TOC  6"/>
    <w:basedOn w:val="Text"/>
    <w:qFormat/>
    <w:pPr>
      <w:tabs>
        <w:tab w:val="left" w:pos="720" w:leader="none"/>
        <w:tab w:val="right" w:pos="9360" w:leader="dot"/>
      </w:tabs>
      <w:spacing w:before="0" w:after="0"/>
      <w:ind w:hanging="720" w:start="4320" w:end="576"/>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2001-11-13T09:22:00Z</dcterms:created>
  <dc:creator>BYKIEMA</dc:creator>
  <dc:description/>
  <dc:language>en-CA</dc:language>
  <cp:lastModifiedBy>rmaziarz</cp:lastModifiedBy>
  <cp:lastPrinted>2001-11-13T15:26:00Z</cp:lastPrinted>
  <dcterms:modified xsi:type="dcterms:W3CDTF">2001-11-15T08:56:00Z</dcterms:modified>
  <cp:revision>26</cp:revision>
  <dc:subject/>
  <dc:title>Supervisory Board Minutes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Description">
    <vt:lpwstr> </vt:lpwstr>
  </property>
  <property fmtid="{D5CDD505-2E9C-101B-9397-08002B2CF9AE}" pid="3" name="DateMissiv">
    <vt:lpwstr>Date</vt:lpwstr>
  </property>
  <property fmtid="{D5CDD505-2E9C-101B-9397-08002B2CF9AE}" pid="4" name="FYIMissiv">
    <vt:lpwstr>For your information</vt:lpwstr>
  </property>
  <property fmtid="{D5CDD505-2E9C-101B-9397-08002B2CF9AE}" pid="5" name="Full DOS Name">
    <vt:bool>0</vt:bool>
  </property>
  <property fmtid="{D5CDD505-2E9C-101B-9397-08002B2CF9AE}" pid="6" name="Language1">
    <vt:lpwstr>English (US)</vt:lpwstr>
  </property>
  <property fmtid="{D5CDD505-2E9C-101B-9397-08002B2CF9AE}" pid="7" name="PrivLine1">
    <vt:lpwstr>Privileged &amp; Confidential</vt:lpwstr>
  </property>
  <property fmtid="{D5CDD505-2E9C-101B-9397-08002B2CF9AE}" pid="8" name="PrivLine2">
    <vt:lpwstr>Attorney Work Product</vt:lpwstr>
  </property>
  <property fmtid="{D5CDD505-2E9C-101B-9397-08002B2CF9AE}" pid="9" name="ReferenceMissiv">
    <vt:lpwstr>Our reference</vt:lpwstr>
  </property>
  <property fmtid="{D5CDD505-2E9C-101B-9397-08002B2CF9AE}" pid="10" name="ShowVersion">
    <vt:bool>1</vt:bool>
  </property>
  <property fmtid="{D5CDD505-2E9C-101B-9397-08002B2CF9AE}" pid="11" name="SigBy1">
    <vt:lpwstr>By:</vt:lpwstr>
  </property>
  <property fmtid="{D5CDD505-2E9C-101B-9397-08002B2CF9AE}" pid="12" name="SigName1">
    <vt:lpwstr>Name:</vt:lpwstr>
  </property>
  <property fmtid="{D5CDD505-2E9C-101B-9397-08002B2CF9AE}" pid="13" name="SigTitle1">
    <vt:lpwstr>Title:</vt:lpwstr>
  </property>
  <property fmtid="{D5CDD505-2E9C-101B-9397-08002B2CF9AE}" pid="14" name="TelefaxMissiv">
    <vt:lpwstr>Telefax</vt:lpwstr>
  </property>
  <property fmtid="{D5CDD505-2E9C-101B-9397-08002B2CF9AE}" pid="15" name="TelephoneMissiv">
    <vt:lpwstr>Telephone</vt:lpwstr>
  </property>
  <property fmtid="{D5CDD505-2E9C-101B-9397-08002B2CF9AE}" pid="16" name="ToMissiv">
    <vt:lpwstr>To</vt:lpwstr>
  </property>
  <property fmtid="{D5CDD505-2E9C-101B-9397-08002B2CF9AE}" pid="17" name="VisitingAddressMissiv">
    <vt:lpwstr>Visiting address</vt:lpwstr>
  </property>
  <property fmtid="{D5CDD505-2E9C-101B-9397-08002B2CF9AE}" pid="18" name="WCOffice">
    <vt:lpwstr>Warsaw</vt:lpwstr>
  </property>
  <property fmtid="{D5CDD505-2E9C-101B-9397-08002B2CF9AE}" pid="19" name="WCPage1">
    <vt:lpwstr>Page</vt:lpwstr>
  </property>
</Properties>
</file>