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3"/>
        <w:spacing w:lineRule="exact" w:line="260"/>
        <w:rPr/>
      </w:pPr>
      <w:r>
        <w:rPr/>
      </w:r>
    </w:p>
    <w:p>
      <w:pPr>
        <w:pStyle w:val="p3"/>
        <w:spacing w:lineRule="exact" w:line="260"/>
        <w:rPr/>
      </w:pPr>
      <w:r>
        <w:rPr/>
      </w:r>
    </w:p>
    <w:p>
      <w:pPr>
        <w:pStyle w:val="p3"/>
        <w:spacing w:lineRule="exact" w:line="260"/>
        <w:rPr/>
      </w:pPr>
      <w:r>
        <w:rPr/>
        <w:t>May 25, 2001</w:t>
      </w:r>
    </w:p>
    <w:p>
      <w:pPr>
        <w:pStyle w:val="Normal"/>
        <w:tabs>
          <w:tab w:val="left" w:pos="720" w:leader="none"/>
        </w:tabs>
        <w:spacing w:lineRule="exact" w:line="260"/>
        <w:rPr/>
      </w:pPr>
      <w:r>
        <w:rPr/>
      </w:r>
    </w:p>
    <w:p>
      <w:pPr>
        <w:pStyle w:val="p4"/>
        <w:spacing w:lineRule="exact" w:line="260"/>
        <w:rPr/>
      </w:pPr>
      <w:r>
        <w:rPr/>
        <w:t>Mr. David P. Boergers, Secretary</w:t>
      </w:r>
    </w:p>
    <w:p>
      <w:pPr>
        <w:pStyle w:val="p4"/>
        <w:spacing w:lineRule="exact" w:line="260"/>
        <w:rPr/>
      </w:pPr>
      <w:r>
        <w:rPr/>
        <w:t>Federal Energy Regulatory Commission</w:t>
      </w:r>
    </w:p>
    <w:p>
      <w:pPr>
        <w:pStyle w:val="p4"/>
        <w:spacing w:lineRule="exact" w:line="260"/>
        <w:rPr/>
      </w:pPr>
      <w:r>
        <w:rPr/>
        <w:t>888 First Street, NE, Room 1A</w:t>
      </w:r>
    </w:p>
    <w:p>
      <w:pPr>
        <w:pStyle w:val="p3"/>
        <w:spacing w:lineRule="exact" w:line="260"/>
        <w:rPr/>
      </w:pPr>
      <w:r>
        <w:rPr/>
        <w:t>Washington, DC  20426</w:t>
      </w:r>
    </w:p>
    <w:p>
      <w:pPr>
        <w:pStyle w:val="Normal"/>
        <w:tabs>
          <w:tab w:val="left" w:pos="720" w:leader="none"/>
        </w:tabs>
        <w:spacing w:lineRule="exact" w:line="260"/>
        <w:rPr/>
      </w:pPr>
      <w:r>
        <w:rPr/>
      </w:r>
    </w:p>
    <w:p>
      <w:pPr>
        <w:pStyle w:val="p5"/>
        <w:spacing w:lineRule="exact" w:line="280"/>
        <w:rPr>
          <w:b/>
        </w:rPr>
      </w:pPr>
      <w:r>
        <w:rPr>
          <w:b/>
        </w:rPr>
        <w:t>RE:</w:t>
        <w:tab/>
        <w:t xml:space="preserve">FLORIDA GAS TRANSMISSION COMPANY, </w:t>
      </w:r>
    </w:p>
    <w:p>
      <w:pPr>
        <w:pStyle w:val="p5"/>
        <w:spacing w:lineRule="exact" w:line="280"/>
        <w:rPr>
          <w:b/>
        </w:rPr>
      </w:pPr>
      <w:r>
        <w:rPr>
          <w:b/>
        </w:rPr>
        <w:tab/>
        <w:t>DOCKET NO. RP01-536-___</w:t>
      </w:r>
    </w:p>
    <w:p>
      <w:pPr>
        <w:pStyle w:val="Normal"/>
        <w:tabs>
          <w:tab w:val="clear" w:pos="720"/>
          <w:tab w:val="left" w:pos="760" w:leader="none"/>
        </w:tabs>
        <w:spacing w:lineRule="exact" w:line="280"/>
        <w:rPr>
          <w:b/>
        </w:rPr>
      </w:pPr>
      <w:r>
        <w:rPr>
          <w:b/>
        </w:rPr>
      </w:r>
    </w:p>
    <w:p>
      <w:pPr>
        <w:pStyle w:val="p3"/>
        <w:spacing w:lineRule="exact" w:line="260"/>
        <w:rPr/>
      </w:pPr>
      <w:r>
        <w:rPr/>
        <w:t>Dear Mr. Boergers:</w:t>
      </w:r>
    </w:p>
    <w:p>
      <w:pPr>
        <w:pStyle w:val="Normal"/>
        <w:tabs>
          <w:tab w:val="left" w:pos="720" w:leader="none"/>
        </w:tabs>
        <w:spacing w:lineRule="exact" w:line="260"/>
        <w:rPr/>
      </w:pPr>
      <w:r>
        <w:rPr/>
      </w:r>
    </w:p>
    <w:p>
      <w:pPr>
        <w:pStyle w:val="p4"/>
        <w:spacing w:lineRule="exact" w:line="260"/>
        <w:rPr/>
      </w:pPr>
      <w:r>
        <w:rPr/>
        <w:t>On August 31, 2002 Florida Gas Transmission Company (“FGT”) submitted for filing as part of its FERC Gas Tariff, Third Revised Volume No. 1 (“Tariff”), tariff sheets to implement electronic contracting in the normal course of business and as a part of the electronic capacity release capability on the FGT system on October 1, 2001.  In its motion to intervene (on page 4), Florida Municipal Natural Gas Association (“FMNGA”) included a sentence that states that FMNGA “suggests that FGT consider developing a mechanism to time stamp all postings and bids submitted to enable other competing parties to verify the actual time the bids are submitted.”  The Commission included this sentence in its September __, 2001 order accepting FGT’s filing “subject to review of information to be submitted by Florida Gas in response to comments of the Florida Municipal Natural Gas Association…”.  FGT was directed to file a response to the suggestion within fifteen days from the date of issuance of the order.  FGT hereby submits this letter as its response.</w:t>
      </w:r>
    </w:p>
    <w:p>
      <w:pPr>
        <w:pStyle w:val="p4"/>
        <w:spacing w:lineRule="exact" w:line="260"/>
        <w:rPr/>
      </w:pPr>
      <w:r>
        <w:rPr/>
      </w:r>
    </w:p>
    <w:p>
      <w:pPr>
        <w:pStyle w:val="p4"/>
        <w:spacing w:lineRule="exact" w:line="260"/>
        <w:rPr/>
      </w:pPr>
      <w:r>
        <w:rPr>
          <w:b/>
          <w:bCs/>
        </w:rPr>
        <w:t>[Teb, read this paragraph over and think about whether we really want to make a big deal about this or not.]</w:t>
      </w:r>
      <w:r>
        <w:rPr/>
        <w:t xml:space="preserve">  First, FGT is concerned that it is not proper to include such a condition in an order that addresses tariff sheets implementing electronic contracting.  The issue raised by FMNGA and addressed by the Commission has to do with implementation of capacity release procedures.  However, the issue before the Commission in this proceeding is </w:t>
      </w:r>
      <w:r>
        <w:rPr>
          <w:u w:val="single"/>
        </w:rPr>
        <w:t>not</w:t>
      </w:r>
      <w:r>
        <w:rPr/>
        <w:t xml:space="preserve"> how capacity release is implemented.  Rather, the only issue is implementation of the electronic execution of contracts on the FGT system.  While, the tariff sheets do address electronic contracting as a part of the capacity release process, the tariff sheets do not address the implementation of capacity release procedures.  Therefore, FGT is concerned with the requirement to submit further information and with the review of such information as a part of this proceeding.  Although the issue is easily addressed (as shown below), FGT is concerned with any precedent that may indicate that the Commission will consider issues that are outside the scope of a particular proceeding.  </w:t>
      </w:r>
      <w:r>
        <w:rPr>
          <w:b/>
          <w:bCs/>
        </w:rPr>
        <w:t>[We could further add the following sentence, but it ups the ante.]</w:t>
      </w:r>
      <w:r>
        <w:rPr/>
        <w:t xml:space="preserve">  While FGT does not mind the Commission recognition that FGT has done what FMNGA requests, FGT requests that the Commission acknowledge that the issue is beyond the bounds of this proceeding.  </w:t>
      </w:r>
      <w:r>
        <w:rPr>
          <w:b/>
          <w:bCs/>
        </w:rPr>
        <w:t>[The following ups the ante even more.]</w:t>
      </w:r>
      <w:r>
        <w:rPr/>
        <w:t xml:space="preserve">  To the extent necessary, FGT requests rehearing of this matter by the Commission.]</w:t>
      </w:r>
    </w:p>
    <w:p>
      <w:pPr>
        <w:pStyle w:val="p4"/>
        <w:spacing w:lineRule="exact" w:line="260"/>
        <w:rPr/>
      </w:pPr>
      <w:r>
        <w:rPr/>
      </w:r>
    </w:p>
    <w:p>
      <w:pPr>
        <w:pStyle w:val="p4"/>
        <w:spacing w:lineRule="exact" w:line="260"/>
        <w:rPr/>
      </w:pPr>
      <w:r>
        <w:rPr/>
        <w:t>FGT will, in fact, implement the system to allow for electronic contracting so that the bid list will display all posted bids with the associated post date and time for each bid.  GISB does require a data field for such posted date and time.  FGT will include this data field on the page which will show all bidders and will be visible to the public.</w:t>
      </w:r>
    </w:p>
    <w:p>
      <w:pPr>
        <w:pStyle w:val="Normal"/>
        <w:tabs>
          <w:tab w:val="left" w:pos="720" w:leader="none"/>
        </w:tabs>
        <w:spacing w:lineRule="exact" w:line="260"/>
        <w:rPr/>
      </w:pPr>
      <w:r>
        <w:rPr/>
      </w:r>
    </w:p>
    <w:p>
      <w:pPr>
        <w:pStyle w:val="p4"/>
        <w:spacing w:lineRule="exact" w:line="260"/>
        <w:rPr/>
      </w:pPr>
      <w:r>
        <w:rPr/>
        <w:t>Very truly yours,</w:t>
      </w:r>
    </w:p>
    <w:p>
      <w:pPr>
        <w:pStyle w:val="Normal"/>
        <w:tabs>
          <w:tab w:val="left" w:pos="720" w:leader="none"/>
        </w:tabs>
        <w:spacing w:lineRule="exact" w:line="260"/>
        <w:rPr/>
      </w:pPr>
      <w:r>
        <w:rPr/>
      </w:r>
    </w:p>
    <w:p>
      <w:pPr>
        <w:pStyle w:val="Normal"/>
        <w:tabs>
          <w:tab w:val="left" w:pos="720" w:leader="none"/>
        </w:tabs>
        <w:spacing w:lineRule="exact" w:line="260"/>
        <w:rPr/>
      </w:pPr>
      <w:r>
        <w:rPr/>
      </w:r>
    </w:p>
    <w:p>
      <w:pPr>
        <w:pStyle w:val="p19"/>
        <w:spacing w:lineRule="auto" w:line="240"/>
        <w:ind w:start="288" w:end="0"/>
        <w:rPr/>
      </w:pPr>
      <w:r>
        <w:rPr/>
        <w:t>W.</w:t>
        <w:tab/>
        <w:t>Teb Lokey</w:t>
      </w:r>
    </w:p>
    <w:p>
      <w:pPr>
        <w:pStyle w:val="p4"/>
        <w:spacing w:lineRule="exact" w:line="260"/>
        <w:rPr/>
      </w:pPr>
      <w:r>
        <w:rPr/>
        <w:t>Director, Rate &amp; Tariffs</w:t>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01_106__Transmittal_Letter_forElectronic_Contracting_Compliance_-5bb760427f24d705add2be189cbae16b1bb7374f9c52bdefb73f09f59601549c.doc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4"/>
      <w:spacing w:lineRule="exact" w:line="260"/>
      <w:rPr/>
    </w:pPr>
    <w:r>
      <w:rPr/>
      <w:t>Mr. David P. Boergers</w:t>
    </w:r>
  </w:p>
  <w:p>
    <w:pPr>
      <w:pStyle w:val="p4"/>
      <w:spacing w:lineRule="exact" w:line="260"/>
      <w:rPr/>
    </w:pPr>
    <w:r>
      <w:rPr/>
      <w:t>May 25 , 2001</w:t>
    </w:r>
  </w:p>
  <w:p>
    <w:pPr>
      <w:pStyle w:val="p4"/>
      <w:spacing w:lineRule="exact" w:line="26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lineRule="exact" w:line="260"/>
      <w:outlineLvl w:val="0"/>
    </w:pPr>
    <w:rPr>
      <w:b/>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c1">
    <w:name w:val="c1"/>
    <w:basedOn w:val="Normal"/>
    <w:qFormat/>
    <w:pPr>
      <w:spacing w:lineRule="atLeast" w:line="240"/>
      <w:jc w:val="center"/>
    </w:pPr>
    <w:rPr/>
  </w:style>
  <w:style w:type="paragraph" w:styleId="c2">
    <w:name w:val="c2"/>
    <w:basedOn w:val="Normal"/>
    <w:qFormat/>
    <w:pPr>
      <w:spacing w:lineRule="atLeast" w:line="240"/>
      <w:jc w:val="center"/>
    </w:pPr>
    <w:rPr/>
  </w:style>
  <w:style w:type="paragraph" w:styleId="p3">
    <w:name w:val="p3"/>
    <w:basedOn w:val="Normal"/>
    <w:qFormat/>
    <w:pPr>
      <w:tabs>
        <w:tab w:val="left" w:pos="720" w:leader="none"/>
      </w:tabs>
      <w:spacing w:lineRule="atLeast" w:line="260"/>
    </w:pPr>
    <w:rPr/>
  </w:style>
  <w:style w:type="paragraph" w:styleId="p4">
    <w:name w:val="p4"/>
    <w:basedOn w:val="Normal"/>
    <w:qFormat/>
    <w:pPr>
      <w:tabs>
        <w:tab w:val="left" w:pos="720" w:leader="none"/>
      </w:tabs>
      <w:spacing w:lineRule="atLeast" w:line="260"/>
    </w:pPr>
    <w:rPr/>
  </w:style>
  <w:style w:type="paragraph" w:styleId="p5">
    <w:name w:val="p5"/>
    <w:basedOn w:val="Normal"/>
    <w:qFormat/>
    <w:pPr>
      <w:tabs>
        <w:tab w:val="clear" w:pos="720"/>
        <w:tab w:val="left" w:pos="760" w:leader="none"/>
      </w:tabs>
      <w:spacing w:lineRule="atLeast" w:line="280"/>
      <w:ind w:hanging="720" w:start="720" w:end="0"/>
    </w:pPr>
    <w:rPr/>
  </w:style>
  <w:style w:type="paragraph" w:styleId="p6">
    <w:name w:val="p6"/>
    <w:basedOn w:val="Normal"/>
    <w:qFormat/>
    <w:pPr>
      <w:tabs>
        <w:tab w:val="clear" w:pos="720"/>
        <w:tab w:val="left" w:pos="3120" w:leader="none"/>
      </w:tabs>
      <w:spacing w:lineRule="atLeast" w:line="240"/>
      <w:ind w:hanging="0" w:start="1680" w:end="0"/>
    </w:pPr>
    <w:rPr/>
  </w:style>
  <w:style w:type="paragraph" w:styleId="c7">
    <w:name w:val="c7"/>
    <w:basedOn w:val="Normal"/>
    <w:qFormat/>
    <w:pPr>
      <w:spacing w:lineRule="atLeast" w:line="240"/>
      <w:jc w:val="center"/>
    </w:pPr>
    <w:rPr/>
  </w:style>
  <w:style w:type="paragraph" w:styleId="p8">
    <w:name w:val="p8"/>
    <w:basedOn w:val="Normal"/>
    <w:qFormat/>
    <w:pPr>
      <w:tabs>
        <w:tab w:val="clear" w:pos="720"/>
        <w:tab w:val="left" w:pos="7360" w:leader="none"/>
      </w:tabs>
      <w:spacing w:lineRule="atLeast" w:line="240"/>
      <w:ind w:hanging="0" w:start="5920" w:end="0"/>
    </w:pPr>
    <w:rPr/>
  </w:style>
  <w:style w:type="paragraph" w:styleId="p9">
    <w:name w:val="p9"/>
    <w:basedOn w:val="Normal"/>
    <w:qFormat/>
    <w:pPr>
      <w:tabs>
        <w:tab w:val="left" w:pos="720" w:leader="none"/>
      </w:tabs>
      <w:spacing w:lineRule="atLeast" w:line="240"/>
      <w:jc w:val="both"/>
    </w:pPr>
    <w:rPr/>
  </w:style>
  <w:style w:type="paragraph" w:styleId="p10">
    <w:name w:val="p10"/>
    <w:basedOn w:val="Normal"/>
    <w:qFormat/>
    <w:pPr>
      <w:tabs>
        <w:tab w:val="left" w:pos="720" w:leader="none"/>
      </w:tabs>
      <w:spacing w:lineRule="atLeast" w:line="260"/>
      <w:jc w:val="both"/>
    </w:pPr>
    <w:rPr/>
  </w:style>
  <w:style w:type="paragraph" w:styleId="c11">
    <w:name w:val="c11"/>
    <w:basedOn w:val="Normal"/>
    <w:qFormat/>
    <w:pPr>
      <w:spacing w:lineRule="atLeast" w:line="240"/>
      <w:jc w:val="center"/>
    </w:pPr>
    <w:rPr/>
  </w:style>
  <w:style w:type="paragraph" w:styleId="t12">
    <w:name w:val="t12"/>
    <w:basedOn w:val="Normal"/>
    <w:qFormat/>
    <w:pPr>
      <w:spacing w:lineRule="atLeast" w:line="260"/>
    </w:pPr>
    <w:rPr/>
  </w:style>
  <w:style w:type="paragraph" w:styleId="p13">
    <w:name w:val="p13"/>
    <w:basedOn w:val="Normal"/>
    <w:qFormat/>
    <w:pPr>
      <w:tabs>
        <w:tab w:val="clear" w:pos="720"/>
        <w:tab w:val="left" w:pos="320" w:leader="none"/>
      </w:tabs>
      <w:spacing w:lineRule="atLeast" w:line="260"/>
      <w:ind w:firstLine="288" w:start="1440" w:end="0"/>
    </w:pPr>
    <w:rPr/>
  </w:style>
  <w:style w:type="paragraph" w:styleId="p14">
    <w:name w:val="p14"/>
    <w:basedOn w:val="Normal"/>
    <w:qFormat/>
    <w:pPr>
      <w:tabs>
        <w:tab w:val="clear" w:pos="720"/>
        <w:tab w:val="left" w:pos="780" w:leader="none"/>
      </w:tabs>
      <w:spacing w:lineRule="atLeast" w:line="260"/>
      <w:ind w:hanging="720" w:start="720" w:end="0"/>
    </w:pPr>
    <w:rPr/>
  </w:style>
  <w:style w:type="paragraph" w:styleId="p15">
    <w:name w:val="p15"/>
    <w:basedOn w:val="Normal"/>
    <w:qFormat/>
    <w:pPr>
      <w:tabs>
        <w:tab w:val="clear" w:pos="720"/>
        <w:tab w:val="left" w:pos="3620" w:leader="none"/>
      </w:tabs>
      <w:spacing w:lineRule="atLeast" w:line="520"/>
      <w:ind w:hanging="3600" w:start="2160" w:end="0"/>
    </w:pPr>
    <w:rPr/>
  </w:style>
  <w:style w:type="paragraph" w:styleId="p16">
    <w:name w:val="p16"/>
    <w:basedOn w:val="Normal"/>
    <w:qFormat/>
    <w:pPr>
      <w:tabs>
        <w:tab w:val="clear" w:pos="720"/>
        <w:tab w:val="left" w:pos="7980" w:leader="none"/>
      </w:tabs>
      <w:spacing w:lineRule="atLeast" w:line="240"/>
      <w:ind w:hanging="0" w:start="6540" w:end="0"/>
    </w:pPr>
    <w:rPr/>
  </w:style>
  <w:style w:type="paragraph" w:styleId="p17">
    <w:name w:val="p17"/>
    <w:basedOn w:val="Normal"/>
    <w:qFormat/>
    <w:pPr>
      <w:tabs>
        <w:tab w:val="left" w:pos="720" w:leader="none"/>
      </w:tabs>
      <w:spacing w:lineRule="atLeast" w:line="240"/>
    </w:pPr>
    <w:rPr/>
  </w:style>
  <w:style w:type="paragraph" w:styleId="p18">
    <w:name w:val="p18"/>
    <w:basedOn w:val="Normal"/>
    <w:qFormat/>
    <w:pPr>
      <w:tabs>
        <w:tab w:val="left" w:pos="720" w:leader="none"/>
      </w:tabs>
      <w:spacing w:lineRule="atLeast" w:line="240"/>
    </w:pPr>
    <w:rPr/>
  </w:style>
  <w:style w:type="paragraph" w:styleId="p19">
    <w:name w:val="p19"/>
    <w:basedOn w:val="Normal"/>
    <w:qFormat/>
    <w:pPr>
      <w:tabs>
        <w:tab w:val="clear" w:pos="720"/>
        <w:tab w:val="left" w:pos="320" w:leader="none"/>
      </w:tabs>
      <w:spacing w:lineRule="atLeast" w:line="240"/>
      <w:ind w:hanging="288" w:start="1152" w:end="0"/>
    </w:pPr>
    <w:rPr/>
  </w:style>
  <w:style w:type="paragraph" w:styleId="p20">
    <w:name w:val="p20"/>
    <w:basedOn w:val="Normal"/>
    <w:qFormat/>
    <w:pPr>
      <w:spacing w:lineRule="atLeast" w:line="240"/>
      <w:ind w:hanging="0" w:start="1280" w:end="0"/>
    </w:pPr>
    <w:rPr/>
  </w:style>
  <w:style w:type="paragraph" w:styleId="c21">
    <w:name w:val="c21"/>
    <w:basedOn w:val="Normal"/>
    <w:qFormat/>
    <w:pPr>
      <w:spacing w:lineRule="atLeast" w:line="240"/>
      <w:jc w:val="center"/>
    </w:pPr>
    <w:rPr/>
  </w:style>
  <w:style w:type="paragraph" w:styleId="p22">
    <w:name w:val="p22"/>
    <w:basedOn w:val="Normal"/>
    <w:qFormat/>
    <w:pPr>
      <w:tabs>
        <w:tab w:val="clear" w:pos="720"/>
        <w:tab w:val="left" w:pos="3380" w:leader="none"/>
      </w:tabs>
      <w:spacing w:lineRule="atLeast" w:line="240"/>
      <w:ind w:hanging="0" w:start="1940" w:end="0"/>
      <w:jc w:val="both"/>
    </w:pPr>
    <w:rPr/>
  </w:style>
  <w:style w:type="paragraph" w:styleId="p23">
    <w:name w:val="p23"/>
    <w:basedOn w:val="Normal"/>
    <w:qFormat/>
    <w:pPr>
      <w:tabs>
        <w:tab w:val="clear" w:pos="720"/>
        <w:tab w:val="left" w:pos="780" w:leader="none"/>
      </w:tabs>
      <w:spacing w:lineRule="atLeast" w:line="260"/>
      <w:ind w:hanging="720" w:start="720" w:end="0"/>
      <w:jc w:val="both"/>
    </w:pPr>
    <w:rPr/>
  </w:style>
  <w:style w:type="paragraph" w:styleId="p24">
    <w:name w:val="p24"/>
    <w:basedOn w:val="Normal"/>
    <w:qFormat/>
    <w:pPr>
      <w:spacing w:lineRule="atLeast" w:line="240"/>
      <w:jc w:val="both"/>
    </w:pPr>
    <w:rPr/>
  </w:style>
  <w:style w:type="paragraph" w:styleId="p25">
    <w:name w:val="p25"/>
    <w:basedOn w:val="Normal"/>
    <w:qFormat/>
    <w:pPr>
      <w:tabs>
        <w:tab w:val="clear" w:pos="720"/>
        <w:tab w:val="left" w:pos="3380" w:leader="none"/>
      </w:tabs>
      <w:spacing w:lineRule="atLeast" w:line="240"/>
      <w:ind w:hanging="0" w:start="1940" w:end="0"/>
    </w:pPr>
    <w:rPr/>
  </w:style>
  <w:style w:type="paragraph" w:styleId="p26">
    <w:name w:val="p26"/>
    <w:basedOn w:val="Normal"/>
    <w:qFormat/>
    <w:pPr>
      <w:tabs>
        <w:tab w:val="left" w:pos="720" w:leader="none"/>
      </w:tabs>
      <w:spacing w:lineRule="atLeast" w:line="240"/>
    </w:pPr>
    <w:rPr/>
  </w:style>
  <w:style w:type="paragraph" w:styleId="c27">
    <w:name w:val="c27"/>
    <w:basedOn w:val="Normal"/>
    <w:qFormat/>
    <w:pPr>
      <w:spacing w:lineRule="atLeast" w:line="240"/>
      <w:jc w:val="center"/>
    </w:pPr>
    <w:rPr/>
  </w:style>
  <w:style w:type="paragraph" w:styleId="p28">
    <w:name w:val="p28"/>
    <w:basedOn w:val="Normal"/>
    <w:qFormat/>
    <w:pPr>
      <w:tabs>
        <w:tab w:val="left" w:pos="720" w:leader="none"/>
      </w:tabs>
      <w:spacing w:lineRule="atLeast" w:line="240"/>
    </w:pPr>
    <w:rPr/>
  </w:style>
  <w:style w:type="paragraph" w:styleId="c29">
    <w:name w:val="c29"/>
    <w:basedOn w:val="Normal"/>
    <w:qFormat/>
    <w:pPr>
      <w:spacing w:lineRule="atLeast" w:line="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2001-09-27T12:21:00Z</dcterms:created>
  <dc:creator>pphilli</dc:creator>
  <dc:description/>
  <dc:language>en-CA</dc:language>
  <cp:lastModifiedBy>fking</cp:lastModifiedBy>
  <cp:lastPrinted>2001-02-14T17:00:00Z</cp:lastPrinted>
  <dcterms:modified xsi:type="dcterms:W3CDTF">2001-09-27T14:03:00Z</dcterms:modified>
  <cp:revision>4</cp:revision>
  <dc:subject/>
  <dc:title>Florida Gas Transmission Company</dc:title>
</cp:coreProperties>
</file>