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Cs/>
          <w:sz w:val="28"/>
        </w:rPr>
      </w:pPr>
      <w:r>
        <w:rPr>
          <w:bCs/>
          <w:sz w:val="28"/>
        </w:rPr>
        <w:t>Prepared Direct Testimony of Seabron C. Adamson</w:t>
      </w:r>
    </w:p>
    <w:p>
      <w:pPr>
        <w:pStyle w:val="Normal"/>
        <w:jc w:val="center"/>
        <w:rPr>
          <w:b/>
          <w:bCs/>
          <w:sz w:val="32"/>
        </w:rPr>
      </w:pPr>
      <w:r>
        <w:rPr>
          <w:b/>
          <w:bCs/>
          <w:sz w:val="32"/>
        </w:rPr>
      </w:r>
    </w:p>
    <w:p>
      <w:pPr>
        <w:pStyle w:val="Heading1"/>
        <w:ind w:hanging="0" w:start="0"/>
        <w:rPr/>
      </w:pPr>
      <w:r>
        <w:rPr/>
        <w:t>Introduction</w:t>
      </w:r>
    </w:p>
    <w:p>
      <w:pPr>
        <w:pStyle w:val="Heading2"/>
        <w:rPr/>
      </w:pPr>
      <w:r>
        <w:rPr/>
        <w:t>Background</w:t>
      </w:r>
    </w:p>
    <w:p>
      <w:pPr>
        <w:pStyle w:val="NormalHanging"/>
        <w:tabs>
          <w:tab w:val="left" w:pos="720" w:leader="none"/>
        </w:tabs>
        <w:spacing w:lineRule="auto" w:line="480" w:before="0" w:after="120"/>
        <w:rPr/>
      </w:pPr>
      <w:r>
        <w:rPr/>
        <w:t>Q.</w:t>
        <w:tab/>
        <w:t>Please state your full name and business address.</w:t>
      </w:r>
    </w:p>
    <w:p>
      <w:pPr>
        <w:pStyle w:val="NormalHanging"/>
        <w:tabs>
          <w:tab w:val="left" w:pos="720" w:leader="none"/>
        </w:tabs>
        <w:spacing w:lineRule="auto" w:line="480" w:before="0" w:after="120"/>
        <w:rPr/>
      </w:pPr>
      <w:r>
        <w:rPr/>
        <w:t>A.</w:t>
        <w:tab/>
        <w:t>My name is Seabron C. Adamson. My business address is Frontier Economics, Two Brattle Square, Cambridge, Massachusetts, 02138.</w:t>
      </w:r>
    </w:p>
    <w:p>
      <w:pPr>
        <w:pStyle w:val="NormalHanging"/>
        <w:tabs>
          <w:tab w:val="left" w:pos="720" w:leader="none"/>
        </w:tabs>
        <w:spacing w:lineRule="auto" w:line="480" w:before="0" w:after="120"/>
        <w:rPr/>
      </w:pPr>
      <w:r>
        <w:rPr/>
        <w:t>Q.</w:t>
        <w:tab/>
        <w:t>What is your educational and professional background?</w:t>
      </w:r>
    </w:p>
    <w:p>
      <w:pPr>
        <w:pStyle w:val="NormalHanging"/>
        <w:tabs>
          <w:tab w:val="left" w:pos="720" w:leader="none"/>
        </w:tabs>
        <w:spacing w:lineRule="auto" w:line="480" w:before="0" w:after="120"/>
        <w:rPr/>
      </w:pPr>
      <w:r>
        <w:rPr/>
        <w:t>A.</w:t>
        <w:tab/>
        <w:t xml:space="preserve">I have a B.S. and M.S degrees from the Georgia Institute of Technology in physics, and an S.M. from the Massachusetts Institute of Technology in technology and policy. </w:t>
      </w:r>
    </w:p>
    <w:p>
      <w:pPr>
        <w:pStyle w:val="NormalHanging"/>
        <w:tabs>
          <w:tab w:val="left" w:pos="720" w:leader="none"/>
        </w:tabs>
        <w:spacing w:lineRule="auto" w:line="480" w:before="0" w:after="120"/>
        <w:rPr/>
      </w:pPr>
      <w:r>
        <w:rPr/>
        <w:tab/>
        <w:t>I am the president of the US office of Frontier Economics, Inc., a consulting firm specializing in the application of microeconomics in various business sectors, particularly deregulated electricity markets. Prior to forming Frontier Economics in 1999, I was president of the US office of London Economics, where my work also focused on electricity markets. I joined London Economics, first in their London headquarters, in 1992.</w:t>
      </w:r>
    </w:p>
    <w:p>
      <w:pPr>
        <w:pStyle w:val="NormalHanging"/>
        <w:tabs>
          <w:tab w:val="left" w:pos="720" w:leader="none"/>
        </w:tabs>
        <w:spacing w:lineRule="auto" w:line="480" w:before="0" w:after="120"/>
        <w:rPr/>
      </w:pPr>
      <w:r>
        <w:rPr/>
        <w:tab/>
        <w:t xml:space="preserve">I have advised on various aspects of electricity market development, including market design, regulatory economics, asset divestiture and mergers and acquisitions. This has included engagements in California, New England, New York, Alberta, Ontario and England and Wales, as well as other markets. I have advised a range of clients on electricity restructuring, market design, market power analysis and other matters in the United States since 1995. </w:t>
      </w:r>
    </w:p>
    <w:p>
      <w:pPr>
        <w:pStyle w:val="Heading2"/>
        <w:rPr/>
      </w:pPr>
      <w:r>
        <w:rPr/>
        <w:t>Introduction and purpose of testimony</w:t>
      </w:r>
    </w:p>
    <w:p>
      <w:pPr>
        <w:pStyle w:val="NormalHanging"/>
        <w:tabs>
          <w:tab w:val="left" w:pos="720" w:leader="none"/>
        </w:tabs>
        <w:spacing w:lineRule="auto" w:line="480" w:before="0" w:after="120"/>
        <w:rPr/>
      </w:pPr>
      <w:r>
        <w:rPr/>
        <w:t>Q.</w:t>
        <w:tab/>
        <w:t>What is the purpose of your testimony?</w:t>
      </w:r>
    </w:p>
    <w:p>
      <w:pPr>
        <w:pStyle w:val="NormalHanging"/>
        <w:tabs>
          <w:tab w:val="left" w:pos="720" w:leader="none"/>
        </w:tabs>
        <w:spacing w:lineRule="auto" w:line="480" w:before="0" w:after="120"/>
        <w:rPr/>
      </w:pPr>
      <w:r>
        <w:rPr/>
        <w:t>A.</w:t>
        <w:tab/>
        <w:t xml:space="preserve">This testimony is filed on behalf of Enron Power Marketing Inc., a member of the Transactions Finality Group (“TFG”) in the Pacific Northwest (“PNW”) proceeding. My testimony complements the testimony of the other TFG witnesses: Sam Van Vactor, Richard Tabors and Scott Jones. I was asked to address four specific sets of issues: the appropriate definition of spot markets with regards to setting of potential refund amounts in the PNW, key differences between the PNW market and the market in California, issues related to the just and reasonableness of power market outcomes in the PNW over the refund period, and to provide some initial analysis of market dynamics in the PNW and how these influenced electricity spot and forward prices. As part of this testimony I also critique certain economic theories and conclusions advanced by witnesses Robert McCullough, Philip Movish and Frank Wolak in their prepared testimony. </w:t>
      </w:r>
    </w:p>
    <w:p>
      <w:pPr>
        <w:pStyle w:val="NormalHanging"/>
        <w:rPr/>
      </w:pPr>
      <w:r>
        <w:rPr/>
        <w:t xml:space="preserve">Q. </w:t>
        <w:tab/>
        <w:t>Please summarize the conclusions of your testimony.</w:t>
      </w:r>
    </w:p>
    <w:p>
      <w:pPr>
        <w:pStyle w:val="Normal"/>
        <w:rPr/>
      </w:pPr>
      <w:r>
        <w:rPr/>
        <w:t>A.</w:t>
        <w:tab/>
        <w:t>The main conclusions of my testimony are as follows:</w:t>
      </w:r>
    </w:p>
    <w:p>
      <w:pPr>
        <w:pStyle w:val="Normal"/>
        <w:numPr>
          <w:ilvl w:val="0"/>
          <w:numId w:val="4"/>
        </w:numPr>
        <w:spacing w:lineRule="auto" w:line="480" w:before="0" w:after="0"/>
        <w:rPr/>
      </w:pPr>
      <w:r>
        <w:rPr/>
        <w:t xml:space="preserve">The appropriate definition of spot transactions in the PNW power market are those that </w:t>
      </w:r>
      <w:r>
        <w:rPr>
          <w:rFonts w:cs="Courier New"/>
        </w:rPr>
        <w:t>comprise sales of 24 hours or less and that, with three exceptions, are entered into the day of or day before delivery. The three exceptions occur when delivery is on or immediately after a weekend day, holiday or WSCC scheduler conference.</w:t>
      </w:r>
    </w:p>
    <w:p>
      <w:pPr>
        <w:pStyle w:val="Normal"/>
        <w:numPr>
          <w:ilvl w:val="0"/>
          <w:numId w:val="4"/>
        </w:numPr>
        <w:spacing w:lineRule="auto" w:line="480" w:before="0" w:after="0"/>
        <w:rPr/>
      </w:pPr>
      <w:r>
        <w:rPr>
          <w:rFonts w:cs="Courier New"/>
        </w:rPr>
        <w:t xml:space="preserve">The Pacific Northwest power market has important differences with the California, market, that serve to limit the scope for unjust and unreasonable market outcomes. These include the ability of market participants to enter into a broad range of hedging mechanisms, which limit the exposure to spot prices. The bilateral-based trading system that exists in the Pacific Northwest may also be more robust than California’s clearing auction mechanisms. </w:t>
      </w:r>
    </w:p>
    <w:p>
      <w:pPr>
        <w:pStyle w:val="Normal"/>
        <w:numPr>
          <w:ilvl w:val="0"/>
          <w:numId w:val="4"/>
        </w:numPr>
        <w:spacing w:lineRule="auto" w:line="480" w:before="0" w:after="0"/>
        <w:rPr/>
      </w:pPr>
      <w:r>
        <w:rPr/>
        <w:t xml:space="preserve">No party has provided any credible evidence, nor even made any specific allegations that any participant or participants exercised market power to drive up market prices in the Pacific Northwest. </w:t>
      </w:r>
    </w:p>
    <w:p>
      <w:pPr>
        <w:pStyle w:val="Normal"/>
        <w:numPr>
          <w:ilvl w:val="0"/>
          <w:numId w:val="4"/>
        </w:numPr>
        <w:spacing w:lineRule="auto" w:line="480" w:before="0" w:after="0"/>
        <w:rPr/>
      </w:pPr>
      <w:r>
        <w:rPr/>
        <w:t>The cost of service benchmark proposed by Dr. Wolak for testing the just and reasonableness of market outcomes is a legal and perhaps a political one, but it has no economic basis. It is unsurprising that market prices exceeded embedded cost average prices in a drought period in a hydro-dominated system, when natural gas prices were also at very high levels. This does not imply that prices over time from the market will exceed regulated rates. Unlike the cost of service world, producers are not guaranteed these same rates when supply is high relative to demand.</w:t>
      </w:r>
    </w:p>
    <w:p>
      <w:pPr>
        <w:pStyle w:val="Normal"/>
        <w:numPr>
          <w:ilvl w:val="0"/>
          <w:numId w:val="4"/>
        </w:numPr>
        <w:spacing w:lineRule="auto" w:line="480" w:before="0" w:after="0"/>
        <w:rPr/>
      </w:pPr>
      <w:r>
        <w:rPr/>
        <w:t>The methodology proposed by Mr. McCullough, witness for Seattle, does not recognize the actual constraints that limit hydroelectric operations in the Northwest. Such a methodology would make economic sense only if the storage and flexibility of the system were almost unlimited. They are not. Mr. McCullough also appears to ignore the importance of exports in his energy “dispatch” calculation.</w:t>
      </w:r>
    </w:p>
    <w:p>
      <w:pPr>
        <w:pStyle w:val="Normal"/>
        <w:numPr>
          <w:ilvl w:val="0"/>
          <w:numId w:val="4"/>
        </w:numPr>
        <w:spacing w:lineRule="auto" w:line="480" w:before="0" w:after="0"/>
        <w:rPr/>
      </w:pPr>
      <w:r>
        <w:rPr/>
        <w:t>The gas-turbine methodology proposed by Mr. Movish, witness for Tacoma, also ignores the key role of hydroelectric scarcity in determining forward and spot prices for power in the Pacific Northwest. This methodology too should be rejected as inconsistent with actual market operations.</w:t>
      </w:r>
    </w:p>
    <w:p>
      <w:pPr>
        <w:pStyle w:val="Normal"/>
        <w:numPr>
          <w:ilvl w:val="0"/>
          <w:numId w:val="4"/>
        </w:numPr>
        <w:spacing w:lineRule="auto" w:line="480" w:before="0" w:after="0"/>
        <w:rPr/>
      </w:pPr>
      <w:r>
        <w:rPr/>
        <w:t>My analysis shows that spot and forward electricity prices in the PNW over the relevant period can be largely explained by low water availability and very high natural gas prices. Both spot and forward commodity (e.g. Henry Hub) and basis prices rose sharply over the winter of 2000-2001.</w:t>
      </w:r>
    </w:p>
    <w:p>
      <w:pPr>
        <w:pStyle w:val="Normal"/>
        <w:numPr>
          <w:ilvl w:val="0"/>
          <w:numId w:val="4"/>
        </w:numPr>
        <w:spacing w:lineRule="auto" w:line="480" w:before="0" w:after="0"/>
        <w:rPr/>
      </w:pPr>
      <w:r>
        <w:rPr/>
        <w:t>A large amount of the price increase in forward electricity markets in the Pacific Northwest can be explained by rapid increases in forward delivered gas prices in the region over the winter period. The assertion by Mr. McCullough that manipulation of spot prices was the primary reason forwards prices rose over the period is not supported by the data. Changes in forward gas prices provide a better explanation for changes in forward electricity prices than the analysis provided by Mr. McCullough.</w:t>
      </w:r>
    </w:p>
    <w:p>
      <w:pPr>
        <w:pStyle w:val="Normal"/>
        <w:numPr>
          <w:ilvl w:val="0"/>
          <w:numId w:val="4"/>
        </w:numPr>
        <w:spacing w:lineRule="auto" w:line="480" w:before="0" w:after="0"/>
        <w:rPr/>
      </w:pPr>
      <w:r>
        <w:rPr/>
        <w:t>In a system dominated by storage hydroelectric resources, the total availability of water helps determine both spot and forward electricity prices. Hydroelectric operators are necessarily cognizant of opportunity costs in producing power – this is the only way in which the system can operate efficiently at all. Hydrology in the PNW over the period has been characterized by severe drought. Major rivers such as the Columbia and Snake were at very low streamflows over the period. The market had access to public information and data that showed total reservoir levels to be very low over the winter, suggesting that come in the year severe shortfalls in hydro production were a real possibility.</w:t>
      </w:r>
    </w:p>
    <w:p>
      <w:pPr>
        <w:pStyle w:val="NormalHanging"/>
        <w:numPr>
          <w:ilvl w:val="0"/>
          <w:numId w:val="4"/>
        </w:numPr>
        <w:tabs>
          <w:tab w:val="left" w:pos="720" w:leader="none"/>
        </w:tabs>
        <w:spacing w:lineRule="auto" w:line="480" w:before="0" w:after="120"/>
        <w:rPr/>
      </w:pPr>
      <w:r>
        <w:rPr/>
        <w:t>Witnesses for Seattle, Tacoma and other parties have made no credible showing that the exercise of market power was a substantial or even a minor influence on spot market prices. As such, demands for refunds by these parties remain unjustified.</w:t>
      </w:r>
    </w:p>
    <w:p>
      <w:pPr>
        <w:pStyle w:val="Heading1"/>
        <w:ind w:hanging="0" w:start="0"/>
        <w:rPr/>
      </w:pPr>
      <w:r>
        <w:rPr/>
        <w:t>Definition of spot markets in the Pacific Northwest</w:t>
      </w:r>
    </w:p>
    <w:p>
      <w:pPr>
        <w:pStyle w:val="NormalHanging"/>
        <w:rPr/>
      </w:pPr>
      <w:r>
        <w:rPr/>
        <w:t>Q.</w:t>
        <w:tab/>
        <w:t>What is the standard economic definition of spot market transactions?</w:t>
      </w:r>
    </w:p>
    <w:p>
      <w:pPr>
        <w:pStyle w:val="NormalHanging"/>
        <w:spacing w:lineRule="auto" w:line="480" w:before="0" w:after="0"/>
        <w:rPr/>
      </w:pPr>
      <w:r>
        <w:rPr/>
        <w:t>A.</w:t>
        <w:tab/>
        <w:t>The definition of “spot” transactions is typically defined to be transactions for immediate delivery, at prevailing prices. In the electric industry the requirements to preserve reliability require that most transactions be scheduled at least somewhat in advance. In the Pacific Northwest power market, there are day-head transactions that are generally consummated the day before actual delivery of electric energy. There also are a smaller number of “hourly” or “real-time” transactions, which are agreed on the day of delivery, closer to the time of actual delivery of energy.</w:t>
      </w:r>
    </w:p>
    <w:p>
      <w:pPr>
        <w:pStyle w:val="Heading2"/>
        <w:tabs>
          <w:tab w:val="left" w:pos="720" w:leader="none"/>
        </w:tabs>
        <w:rPr/>
      </w:pPr>
      <w:r>
        <w:rPr/>
        <w:t>Day ahead transactions</w:t>
      </w:r>
    </w:p>
    <w:p>
      <w:pPr>
        <w:pStyle w:val="NormalHanging"/>
        <w:spacing w:lineRule="auto" w:line="480" w:before="0" w:after="0"/>
        <w:rPr/>
      </w:pPr>
      <w:r>
        <w:rPr/>
        <w:t>Q.</w:t>
        <w:tab/>
        <w:t xml:space="preserve">How are day ahead transactions conducted in the Pacific NNW? </w:t>
      </w:r>
    </w:p>
    <w:p>
      <w:pPr>
        <w:pStyle w:val="NormalHanging"/>
        <w:spacing w:lineRule="auto" w:line="480" w:before="0" w:after="0"/>
        <w:rPr/>
      </w:pPr>
      <w:r>
        <w:rPr/>
        <w:t>A.</w:t>
        <w:tab/>
        <w:t>In these transactions parties agree to terms, pricing and other conditions on an individual bilateral basis the day before delivery (with certain exceptions). In the afternoon of the day before, schedules reflecting the power bought and sold are submitted to control areas in the pre-scheduling process. The rules of the process are widely known throughout the region, and are encapsulated in WSCC standard operational practices. Energy is generally traded and scheduled for peak and off-peak blocks, often for delivery at certain well-recognized trading hubs such as Mid-Columbia (“Mid-C”) and the California-Oregon Border (“COB”).</w:t>
      </w:r>
    </w:p>
    <w:p>
      <w:pPr>
        <w:pStyle w:val="NormalHanging"/>
        <w:spacing w:lineRule="auto" w:line="480" w:before="0" w:after="0"/>
        <w:rPr/>
      </w:pPr>
      <w:r>
        <w:rPr/>
        <w:t>Q.</w:t>
        <w:tab/>
        <w:t>What exceptions prevent these transactions from all being consummated the day before delivery of energy?</w:t>
      </w:r>
    </w:p>
    <w:p>
      <w:pPr>
        <w:pStyle w:val="NormalHanging"/>
        <w:spacing w:lineRule="auto" w:line="480" w:before="0" w:after="0"/>
        <w:rPr/>
      </w:pPr>
      <w:r>
        <w:rPr/>
        <w:t>A.</w:t>
        <w:tab/>
        <w:t>The standard exceptions reflect the impact of weekends, holidays and WSCC scheduler’s conferences on trading. For example, on a normal weekend power for Monday delivery will be traded on Friday. If Monday is a holiday, then power for Tuesday may be traded on Friday. Thus, under some circumstances, trading of this daily spot power may actually occur up to four days ahead of actual delivery.</w:t>
      </w:r>
    </w:p>
    <w:p>
      <w:pPr>
        <w:pStyle w:val="NormalHanging"/>
        <w:spacing w:lineRule="auto" w:line="480" w:before="0" w:after="0"/>
        <w:rPr/>
      </w:pPr>
      <w:r>
        <w:rPr/>
        <w:t>Q.</w:t>
        <w:tab/>
        <w:t>What are some of the key economic characteristics of the PNW day ahead market?</w:t>
      </w:r>
    </w:p>
    <w:p>
      <w:pPr>
        <w:pStyle w:val="NormalHanging"/>
        <w:spacing w:lineRule="auto" w:line="480" w:before="0" w:after="0"/>
        <w:rPr/>
      </w:pPr>
      <w:r>
        <w:rPr/>
        <w:t>A.</w:t>
        <w:tab/>
        <w:t xml:space="preserve">The day-ahead market in the PNW is generally considered robust and liquid. Trading volumes appear significant with respect to the size of typical market participant positions. There is a high degree of price transparency and effective price discovery in this market. Many private information service providers, including Dow Jones, Bloomberg and others provide price and volume survey and other data to the market on a daily basis – Bloomberg provides data on prices at the major hubs in near real-time. Finally, several participants offer electronic principal trading platforms that allow participants to see a bid-ask spread for sales to and from those participants in real-time. The day ahead market thus meets many or all of the criteria for an effective spot market: liquidity, transparency, robustness, and price discovery. </w:t>
      </w:r>
    </w:p>
    <w:p>
      <w:pPr>
        <w:pStyle w:val="Heading2"/>
        <w:tabs>
          <w:tab w:val="left" w:pos="720" w:leader="none"/>
        </w:tabs>
        <w:rPr/>
      </w:pPr>
      <w:r>
        <w:rPr/>
        <w:t>Real-time transactions</w:t>
      </w:r>
    </w:p>
    <w:p>
      <w:pPr>
        <w:pStyle w:val="NormalHanging"/>
        <w:numPr>
          <w:ilvl w:val="0"/>
          <w:numId w:val="2"/>
        </w:numPr>
        <w:tabs>
          <w:tab w:val="left" w:pos="720" w:leader="none"/>
        </w:tabs>
        <w:ind w:hanging="720" w:start="720" w:end="0"/>
        <w:rPr/>
      </w:pPr>
      <w:r>
        <w:rPr/>
        <w:t>How are shorter-period real-time transactions conducted in the PNW?</w:t>
      </w:r>
    </w:p>
    <w:p>
      <w:pPr>
        <w:pStyle w:val="NormalHanging"/>
        <w:spacing w:lineRule="auto" w:line="480" w:before="0" w:after="0"/>
        <w:rPr/>
      </w:pPr>
      <w:r>
        <w:rPr/>
        <w:t>A.</w:t>
        <w:tab/>
        <w:t>There is also a “real-time” market for electricity in the PNW. This market operates on the day of delivery, with the largest volumes in the hours leading up to delivery. The real-time market allows participants to trade very short duration blocks of power, often for only an hour in length. Such trades are used to cover unit outages, short-term load and supply variations, and other variations.</w:t>
      </w:r>
    </w:p>
    <w:p>
      <w:pPr>
        <w:pStyle w:val="NormalHanging"/>
        <w:spacing w:lineRule="auto" w:line="480" w:before="0" w:after="0"/>
        <w:rPr/>
      </w:pPr>
      <w:r>
        <w:rPr/>
        <w:t>Q.</w:t>
        <w:tab/>
        <w:t>What are some of the key economic characteristics of the PNW real-time market?</w:t>
      </w:r>
    </w:p>
    <w:p>
      <w:pPr>
        <w:pStyle w:val="NormalHanging"/>
        <w:spacing w:lineRule="auto" w:line="480" w:before="0" w:after="0"/>
        <w:rPr/>
      </w:pPr>
      <w:r>
        <w:rPr/>
        <w:t>A.</w:t>
        <w:tab/>
        <w:t>The real-time market in the PNW is generally for relatively small volumes. The real-time market is fairly illiquid, in comparison to the day ahead market. To my knowledge there are no published survey or any other prices reflecting the purchases and sales of real-time power in the PNW.</w:t>
      </w:r>
    </w:p>
    <w:p>
      <w:pPr>
        <w:pStyle w:val="Heading2"/>
        <w:tabs>
          <w:tab w:val="left" w:pos="720" w:leader="none"/>
        </w:tabs>
        <w:rPr/>
      </w:pPr>
      <w:r>
        <w:rPr/>
        <w:t>Defining spot transactions for the purposes of the PNW hearing</w:t>
      </w:r>
    </w:p>
    <w:p>
      <w:pPr>
        <w:pStyle w:val="NormalHanging"/>
        <w:spacing w:lineRule="auto" w:line="480" w:before="0" w:after="0"/>
        <w:rPr/>
      </w:pPr>
      <w:r>
        <w:rPr/>
        <w:t>Q.</w:t>
        <w:tab/>
        <w:t>What is your precise definition of spot transactions for the purposes of this proceeding?</w:t>
      </w:r>
    </w:p>
    <w:p>
      <w:pPr>
        <w:pStyle w:val="NormalHanging"/>
        <w:spacing w:lineRule="auto" w:line="480" w:before="0" w:after="0"/>
        <w:rPr/>
      </w:pPr>
      <w:r>
        <w:rPr/>
        <w:t>A.</w:t>
        <w:tab/>
        <w:t xml:space="preserve">I define spot transactions in the PNW power market as those that </w:t>
      </w:r>
      <w:r>
        <w:rPr>
          <w:rFonts w:cs="Courier New"/>
        </w:rPr>
        <w:t>comprises sales of 24 hours or less and that, with three exceptions, are entered into the day of or day before delivery. The three exceptions occur when delivery is on or immediately after a weekend day, holiday or WSCC scheduler conference.</w:t>
      </w:r>
    </w:p>
    <w:p>
      <w:pPr>
        <w:pStyle w:val="NormalHanging"/>
        <w:spacing w:lineRule="auto" w:line="480" w:before="0" w:after="0"/>
        <w:rPr/>
      </w:pPr>
      <w:r>
        <w:rPr/>
        <w:t>Q.</w:t>
        <w:tab/>
        <w:t>Why is this definition of spot transactions appropriate?</w:t>
      </w:r>
    </w:p>
    <w:p>
      <w:pPr>
        <w:pStyle w:val="NormalHanging"/>
        <w:spacing w:lineRule="auto" w:line="480" w:before="0" w:after="0"/>
        <w:rPr/>
      </w:pPr>
      <w:r>
        <w:rPr/>
        <w:t>A.</w:t>
        <w:tab/>
        <w:t>This definition is appropriate for three reasons. First, it captures the immediate nature of spot transactions. Second, it recognizes the realities of the PNW market. Under the scheduling procedures and trading practices of the PNW, these transactions generally occur the day before, and can occur up to several days before the day when delivery is made, when weekends, holidays and scheduler conferences intervene. Third, it captures these transactions on a consistent basis. Defining spot transactions as those that are strictly made within 24 hours of delivery would not be consistent with actual trading practice.</w:t>
      </w:r>
    </w:p>
    <w:p>
      <w:pPr>
        <w:pStyle w:val="NormalHanging"/>
        <w:spacing w:lineRule="auto" w:line="480" w:before="0" w:after="0"/>
        <w:rPr/>
      </w:pPr>
      <w:r>
        <w:rPr/>
        <w:t>Q.</w:t>
        <w:tab/>
        <w:t>Do you believe that electricity traders in the PNW would agree with this definition of the PNW spot market?</w:t>
      </w:r>
    </w:p>
    <w:p>
      <w:pPr>
        <w:pStyle w:val="NormalHanging"/>
        <w:spacing w:lineRule="auto" w:line="480" w:before="0" w:after="0"/>
        <w:rPr/>
      </w:pPr>
      <w:r>
        <w:rPr/>
        <w:t>A.</w:t>
        <w:tab/>
        <w:t>Yes, I do. In preparing this testimony, I confirmed my understanding of the PNW with four traders in the region, who work in these markets every day. I conducted telephone interviews with traders from Enron Power Marketing, Inc., Constellation, Powerex and PPL Montana. All of the traders I interviewed agreed that the spot market in the PNW included only transactions of 24-hour or less in duration, and that were conducted the day before delivery or on a shorter time horizon, with the exceptions noted previously.</w:t>
      </w:r>
    </w:p>
    <w:p>
      <w:pPr>
        <w:pStyle w:val="NormalHanging"/>
        <w:spacing w:lineRule="auto" w:line="480" w:before="0" w:after="0"/>
        <w:rPr/>
      </w:pPr>
      <w:r>
        <w:rPr/>
        <w:t>Q.</w:t>
        <w:tab/>
        <w:t xml:space="preserve">If “immediacy” is a component of the economic definition of spot transactions, why not include only transactions in the PNW real-time market? </w:t>
      </w:r>
    </w:p>
    <w:p>
      <w:pPr>
        <w:pStyle w:val="NormalHanging"/>
        <w:spacing w:lineRule="auto" w:line="480" w:before="0" w:after="0"/>
        <w:rPr/>
      </w:pPr>
      <w:r>
        <w:rPr/>
        <w:t>A.</w:t>
        <w:tab/>
        <w:t>There is a need to balance strict economic interpretations. Since electricity must in general be produced when it is consumed, then a purely economic definition might include transactions made even closer to real-time. However, the reality is that the market does not operate that way. Also, as noted previously, the transparency of the real-time market is very low, as are volumes. The majority of “spot” transactions, which are used to cover open positions, etc. are made the day before, and this market is transparent, liquid and robust. So it is my conclusion that to keep day ahead transactions within the set of spot transactions for the purpose of this proceeding is appropriate.</w:t>
      </w:r>
    </w:p>
    <w:p>
      <w:pPr>
        <w:pStyle w:val="NormalHanging"/>
        <w:spacing w:lineRule="auto" w:line="480" w:before="0" w:after="0"/>
        <w:rPr/>
      </w:pPr>
      <w:r>
        <w:rPr/>
        <w:tab/>
        <w:t>By the day before delivery, market participants will generally have a good idea of their expected load, available resources, and other market parameters. Therefore most information on supply and demand will be incorporated in these prices. This is not the case with respect to transactions entered into for longer durations, or more than one business day ahead. The price risk associated with such transactions is much larger. It is my understanding that traders usually treat accounting, scheduling and risk management aspects of such transactions in the PNW market differently than they treat those for true spot transactions, as defined previously.</w:t>
      </w:r>
    </w:p>
    <w:p>
      <w:pPr>
        <w:pStyle w:val="Normal"/>
        <w:spacing w:lineRule="auto" w:line="480" w:before="0" w:after="0"/>
        <w:rPr/>
      </w:pPr>
      <w:r>
        <w:rPr/>
        <w:t>Q.</w:t>
        <w:tab/>
        <w:t>Does this conclude this section of your testimony?</w:t>
      </w:r>
    </w:p>
    <w:p>
      <w:pPr>
        <w:pStyle w:val="Normal"/>
        <w:spacing w:lineRule="auto" w:line="480" w:before="0" w:after="0"/>
        <w:rPr/>
      </w:pPr>
      <w:r>
        <w:rPr/>
        <w:t>A.</w:t>
        <w:tab/>
        <w:t>Yes, it does.</w:t>
      </w:r>
    </w:p>
    <w:p>
      <w:pPr>
        <w:pStyle w:val="Normal"/>
        <w:rPr/>
      </w:pPr>
      <w:r>
        <w:rPr/>
      </w:r>
    </w:p>
    <w:p>
      <w:pPr>
        <w:pStyle w:val="Normal"/>
        <w:rPr/>
      </w:pPr>
      <w:r>
        <w:rPr/>
      </w:r>
      <w:r>
        <w:br w:type="page"/>
      </w:r>
    </w:p>
    <w:p>
      <w:pPr>
        <w:pStyle w:val="Heading1"/>
        <w:ind w:hanging="0" w:start="0"/>
        <w:rPr/>
      </w:pPr>
      <w:r>
        <w:rPr/>
        <w:t>Differences between the PNW and California spot power markets</w:t>
      </w:r>
    </w:p>
    <w:p>
      <w:pPr>
        <w:pStyle w:val="NormalHanging"/>
        <w:spacing w:lineRule="auto" w:line="480" w:before="0" w:after="0"/>
        <w:rPr/>
      </w:pPr>
      <w:r>
        <w:rPr/>
        <w:t>Q.</w:t>
        <w:tab/>
        <w:t>What are some of the key differences in the PNW and California markets in terms of market structure and outcomes?</w:t>
      </w:r>
    </w:p>
    <w:p>
      <w:pPr>
        <w:pStyle w:val="NormalHanging"/>
        <w:spacing w:lineRule="auto" w:line="480" w:before="0" w:after="0"/>
        <w:rPr/>
      </w:pPr>
      <w:r>
        <w:rPr/>
        <w:t>A.</w:t>
        <w:tab/>
        <w:t>The PNW market differs greatly from the California in almost every respect. The composition of generation assets, as described in the testimony of Sam Van Vactor, is very different. This in turn affects basic market dynamics. The regulatory restrictions placed on market participants by state regulators were very different. Finally, the fundamental market mechanism is very different from those predominantly employed in California over the refund period. These differences are critical to evaluating the economic issues raised in this case.</w:t>
      </w:r>
    </w:p>
    <w:p>
      <w:pPr>
        <w:pStyle w:val="Heading2"/>
        <w:tabs>
          <w:tab w:val="left" w:pos="720" w:leader="none"/>
        </w:tabs>
        <w:rPr/>
      </w:pPr>
      <w:r>
        <w:rPr/>
        <w:t>Restrictions on hedging did not apply in the PNW</w:t>
      </w:r>
    </w:p>
    <w:p>
      <w:pPr>
        <w:pStyle w:val="NormalHanging"/>
        <w:numPr>
          <w:ilvl w:val="0"/>
          <w:numId w:val="6"/>
        </w:numPr>
        <w:spacing w:lineRule="auto" w:line="480" w:before="0" w:after="0"/>
        <w:ind w:hanging="720" w:start="720" w:end="0"/>
        <w:rPr/>
      </w:pPr>
      <w:r>
        <w:rPr/>
        <w:t>The Commission in its November 1st, 2000 Order on the California market stated that a fundamental problem with that market is that state commission regulation had prevented load-serving utilities from hedging their risks in forward markets, leaving them reliant on spot markets. Were such restrictions in place in the PNW?</w:t>
      </w:r>
    </w:p>
    <w:p>
      <w:pPr>
        <w:pStyle w:val="NormalHanging"/>
        <w:spacing w:lineRule="auto" w:line="480" w:before="0" w:after="0"/>
        <w:rPr/>
      </w:pPr>
      <w:r>
        <w:rPr/>
        <w:t>A.</w:t>
        <w:tab/>
        <w:t xml:space="preserve">No. Distribution utilities in the PNW were to my knowledge under no such restrictions. The parties seeking refund in this case are municipal entities that were subject to substantially lower levels of state regulatory oversight than California’s investor-owned utilities. They were generally free to hedge their risks as they saw fit. </w:t>
      </w:r>
    </w:p>
    <w:p>
      <w:pPr>
        <w:pStyle w:val="NormalHanging"/>
        <w:spacing w:lineRule="auto" w:line="480" w:before="0" w:after="0"/>
        <w:rPr/>
      </w:pPr>
      <w:r>
        <w:rPr/>
        <w:tab/>
        <w:t>A consequence of this lack of artificial constraints on hedging is that forward markets for electricity were likely more robust in the PNW than in California, where the CPUC had constrained the utilities to purchase power from the California Power Exchange and the California ISO markets.</w:t>
      </w:r>
    </w:p>
    <w:p>
      <w:pPr>
        <w:pStyle w:val="NormalHanging"/>
        <w:spacing w:lineRule="auto" w:line="480" w:before="0" w:after="0"/>
        <w:rPr/>
      </w:pPr>
      <w:r>
        <w:rPr/>
        <w:t>Q.</w:t>
        <w:tab/>
        <w:t>Why do many economists believe that development of forward markets is important in developing robust electricity markets?</w:t>
      </w:r>
    </w:p>
    <w:p>
      <w:pPr>
        <w:pStyle w:val="NormalHanging"/>
        <w:spacing w:lineRule="auto" w:line="480" w:before="0" w:after="0"/>
        <w:rPr/>
      </w:pPr>
      <w:r>
        <w:rPr/>
        <w:t>A.</w:t>
        <w:tab/>
        <w:t>Forward markets can in theory provide numerous benefits to suppliers and purchasers of power. Forwards markets provide a means of hedging price risks, which is of substantial benefit to consumers. The glaring mistake of some of the entities seeking refunds in this proceeding is their failure to implement effective hedging strategies for the winter of 2000-2001, when key signs (forward gas prices, expected levels of hydro availability) pointed to a scarcity of available power. Ignoring forwards markets, which have important price discovery functions in commodities markets, comes at considerable peril. In addition, it has long been recognized in the economic literature, and in practice in overseas power markets, that the presence of forwards markets tends to undermine the ability of generators to exercise any market power.</w:t>
      </w:r>
    </w:p>
    <w:p>
      <w:pPr>
        <w:pStyle w:val="Heading2"/>
        <w:rPr/>
      </w:pPr>
      <w:r>
        <w:rPr/>
        <w:t>Differences in market mechanisms are also important</w:t>
      </w:r>
    </w:p>
    <w:p>
      <w:pPr>
        <w:pStyle w:val="NormalHanging"/>
        <w:spacing w:lineRule="auto" w:line="480" w:before="0" w:after="0"/>
        <w:rPr/>
      </w:pPr>
      <w:r>
        <w:rPr/>
        <w:t>Q.</w:t>
        <w:tab/>
        <w:t>How does the functioning of the PNW market differ conceptually from the California market?</w:t>
      </w:r>
    </w:p>
    <w:p>
      <w:pPr>
        <w:pStyle w:val="NormalHanging"/>
        <w:spacing w:lineRule="auto" w:line="480" w:before="0" w:after="0"/>
        <w:rPr/>
      </w:pPr>
      <w:r>
        <w:rPr/>
        <w:t>A.</w:t>
        <w:tab/>
        <w:t xml:space="preserve">The PNW is a bilateral-based market, without the centralized clearing auction mechanisms used in the California Power Exchange day ahead market or in the California ISO imbalance market. In the PNW, trading is generally on an over-the-counter (“OTC”) basis, and based on individual bid and ask prices made by market participants. The operation of such a bilateral-based market is similar to what is referred to as a continuous-double auction (“CDA”). In such a market mechanism, there is no single clearing price, although the bid-ask spread (one measure of market efficiency) is generally small. Price discovery in this type of market is continuous. </w:t>
      </w:r>
    </w:p>
    <w:p>
      <w:pPr>
        <w:pStyle w:val="NormalHanging"/>
        <w:spacing w:lineRule="auto" w:line="480" w:before="0" w:after="0"/>
        <w:ind w:hanging="0" w:end="0"/>
        <w:rPr/>
      </w:pPr>
      <w:r>
        <w:rPr/>
        <w:t xml:space="preserve">Broadly speaking, the California market relied on clearing uniform price auctions to set prices. </w:t>
      </w:r>
    </w:p>
    <w:p>
      <w:pPr>
        <w:pStyle w:val="Heading1"/>
        <w:ind w:hanging="0" w:start="0"/>
        <w:rPr/>
      </w:pPr>
      <w:r>
        <w:rPr/>
        <w:t>Evidence of abuse of market power or other causes of unjust and unreasonable market prices</w:t>
      </w:r>
    </w:p>
    <w:p>
      <w:pPr>
        <w:pStyle w:val="NormalHanging"/>
        <w:spacing w:lineRule="auto" w:line="480" w:before="0" w:after="0"/>
        <w:rPr/>
      </w:pPr>
      <w:r>
        <w:rPr/>
        <w:t>Q.</w:t>
        <w:tab/>
        <w:t>Can you provide a simple working definition of supplier market power as a basis for discussion?</w:t>
      </w:r>
    </w:p>
    <w:p>
      <w:pPr>
        <w:pStyle w:val="NormalHanging"/>
        <w:spacing w:lineRule="auto" w:line="480" w:before="0" w:after="0"/>
        <w:rPr/>
      </w:pPr>
      <w:r>
        <w:rPr/>
        <w:t>A.</w:t>
        <w:tab/>
        <w:t>Yes. The definition used in the Department of Justice (“DoJ”) Merger Guidelines is “Market power to a seller is the ability profitably to maintain prices above competitive levels for a significant period of time”.</w:t>
      </w:r>
      <w:r>
        <w:rPr>
          <w:rStyle w:val="FootnoteCharacters"/>
          <w:rStyle w:val="FootnoteReference"/>
        </w:rPr>
        <w:footnoteReference w:id="2"/>
      </w:r>
      <w:r>
        <w:rPr/>
        <w:t xml:space="preserve"> Broadly speaking, the potential for market power exists when a competitor has the ability profitably to change market prices by altering the amount of a product supplied. Altering the amount supplied may occur through “physical withholding,” or keeping supply off the market by simply not making an offer to sell. It may also occur through “economic withholding”, that is by offering the product for sale at a higher price that will clear the market.</w:t>
      </w:r>
    </w:p>
    <w:p>
      <w:pPr>
        <w:pStyle w:val="NormalHanging"/>
        <w:spacing w:lineRule="auto" w:line="480" w:before="0" w:after="0"/>
        <w:rPr/>
      </w:pPr>
      <w:r>
        <w:rPr/>
        <w:t xml:space="preserve">Q. </w:t>
        <w:tab/>
        <w:t>What does such a definition imply for the ability of pure marketers to exercise market power, if they do not operate any physical generation or have dispatch rights over generation?</w:t>
      </w:r>
    </w:p>
    <w:p>
      <w:pPr>
        <w:pStyle w:val="NormalHanging"/>
        <w:spacing w:lineRule="auto" w:line="480" w:before="0" w:after="0"/>
        <w:rPr/>
      </w:pPr>
      <w:r>
        <w:rPr/>
        <w:t>A.</w:t>
        <w:tab/>
        <w:t xml:space="preserve">This economic definition suggests that it is difficult or impossible for them to exert any market power – they do not have the “levers” to influence market volumes even if they wanted to do so. Marketers in the PNW generally blocks of power, which are not linked to the output of any specific generating unit nor any portfolio of units. When marketers purchase blocks of power under WSCC rules, the power will flow – no dispatch rights are granted. Therefore, even if they choose not to offer such power into the market, or offer it in at some very high price, they cannot stop it from being delivered. </w:t>
      </w:r>
    </w:p>
    <w:p>
      <w:pPr>
        <w:pStyle w:val="NormalHanging"/>
        <w:spacing w:lineRule="auto" w:line="480" w:before="0" w:after="0"/>
        <w:rPr/>
      </w:pPr>
      <w:r>
        <w:rPr/>
        <w:tab/>
        <w:t>Looking back to the working definition, which defines the potential for market power, the logical implication is that pure marketers cannot exert market power in electricity markets, as they do not have the ability to physically or economically withhold supplies from the market, and electricity is non-storable.</w:t>
      </w:r>
    </w:p>
    <w:p>
      <w:pPr>
        <w:pStyle w:val="NormalHanging"/>
        <w:spacing w:lineRule="auto" w:line="480" w:before="0" w:after="0"/>
        <w:rPr/>
      </w:pPr>
      <w:r>
        <w:rPr/>
        <w:t>Q.</w:t>
        <w:tab/>
        <w:t>Have the parties requesting refunds in this proceeding provided any credible evidence that market power has been exercised in the PNW over the refund period?</w:t>
      </w:r>
    </w:p>
    <w:p>
      <w:pPr>
        <w:pStyle w:val="NormalHanging"/>
        <w:tabs>
          <w:tab w:val="left" w:pos="720" w:leader="none"/>
        </w:tabs>
        <w:spacing w:lineRule="auto" w:line="480" w:before="0" w:after="0"/>
        <w:rPr/>
      </w:pPr>
      <w:r>
        <w:rPr/>
        <w:t>A.</w:t>
        <w:tab/>
        <w:t>No. Witnesses for Seattle and Tacoma show only that PNW spot market prices were higher than their concocted “reference prices”. However, as will be discussed later in my testimony, the economic methodologies employed are so fundamentally flawed that no reliance can be placed upon these price comparisons.</w:t>
      </w:r>
    </w:p>
    <w:p>
      <w:pPr>
        <w:pStyle w:val="NormalHanging"/>
        <w:tabs>
          <w:tab w:val="left" w:pos="720" w:leader="none"/>
        </w:tabs>
        <w:spacing w:lineRule="auto" w:line="480" w:before="0" w:after="0"/>
        <w:rPr/>
      </w:pPr>
      <w:r>
        <w:rPr/>
        <w:t>Q.</w:t>
        <w:tab/>
        <w:t>Has any other party in this proceeding demonstrated the exercise of market power?</w:t>
      </w:r>
    </w:p>
    <w:p>
      <w:pPr>
        <w:pStyle w:val="NormalHanging"/>
        <w:tabs>
          <w:tab w:val="left" w:pos="720" w:leader="none"/>
        </w:tabs>
        <w:spacing w:lineRule="auto" w:line="480" w:before="0" w:after="0"/>
        <w:rPr/>
      </w:pPr>
      <w:r>
        <w:rPr/>
        <w:t>A.</w:t>
        <w:tab/>
        <w:t>No.</w:t>
      </w:r>
    </w:p>
    <w:p>
      <w:pPr>
        <w:pStyle w:val="Heading2"/>
        <w:rPr/>
      </w:pPr>
      <w:r>
        <w:rPr/>
        <w:t>Cost-of-service benchmarks for just and reasonable rates in the market context</w:t>
      </w:r>
    </w:p>
    <w:p>
      <w:pPr>
        <w:pStyle w:val="NormalHanging"/>
        <w:tabs>
          <w:tab w:val="left" w:pos="720" w:leader="none"/>
        </w:tabs>
        <w:spacing w:lineRule="auto" w:line="480" w:before="0" w:after="0"/>
        <w:rPr/>
      </w:pPr>
      <w:r>
        <w:rPr/>
        <w:t>Q.</w:t>
        <w:tab/>
        <w:t>Dr. Wolak, witness for the California Parties (at p. 3), defines a just and reasonable outcome as one that is no higher than those that would have existed under cost-of-service regulation. Is this a sensible definition?</w:t>
      </w:r>
    </w:p>
    <w:p>
      <w:pPr>
        <w:pStyle w:val="NormalHanging"/>
        <w:tabs>
          <w:tab w:val="left" w:pos="720" w:leader="none"/>
        </w:tabs>
        <w:spacing w:lineRule="auto" w:line="480" w:before="0" w:after="0"/>
        <w:rPr/>
      </w:pPr>
      <w:r>
        <w:rPr/>
        <w:tab/>
        <w:t xml:space="preserve">The cost-of-service rates described by Dr. Wolak are based on the average costs of providing power. Even more critically, typical cost-of-service rates are based on the unrecovered costs incurred </w:t>
      </w:r>
      <w:r>
        <w:rPr>
          <w:i/>
          <w:iCs/>
        </w:rPr>
        <w:t>in the past.</w:t>
      </w:r>
      <w:r>
        <w:rPr/>
        <w:t xml:space="preserve"> For example, a cost-of-service standard would sell power generated from a hydroelectric dam built in 1940 for almost free, as the capital costs of such a facility would have long since been recovered.</w:t>
      </w:r>
      <w:r>
        <w:rPr>
          <w:rStyle w:val="FootnoteCharacters"/>
          <w:rStyle w:val="FootnoteReference"/>
        </w:rPr>
        <w:footnoteReference w:id="3"/>
      </w:r>
      <w:r>
        <w:rPr/>
        <w:t xml:space="preserve"> Cost of service accounting has no bearing on economic costs, and therefore distorts incentives. True economic prices for hydroelectric power should be based on opportunity costs. </w:t>
      </w:r>
    </w:p>
    <w:p>
      <w:pPr>
        <w:pStyle w:val="NormalHanging"/>
        <w:tabs>
          <w:tab w:val="left" w:pos="720" w:leader="none"/>
        </w:tabs>
        <w:spacing w:lineRule="auto" w:line="480" w:before="0" w:after="0"/>
        <w:rPr/>
      </w:pPr>
      <w:r>
        <w:rPr/>
        <w:tab/>
        <w:t xml:space="preserve">The premise of markets is that competition will tend to drive down average prices over time, </w:t>
      </w:r>
      <w:r>
        <w:rPr>
          <w:i/>
          <w:iCs/>
        </w:rPr>
        <w:t>not</w:t>
      </w:r>
      <w:r>
        <w:rPr/>
        <w:t xml:space="preserve"> that market prices will always and in every period be below the cost-of-service level. To accept the proposal of Dr. Wolak is to reverse completely the Commission’s broad policy of encouraging market forces in the electricity industry. There is a range of potentially meaningful standards for “just and reasonable” market outcomes. </w:t>
      </w:r>
      <w:r>
        <w:rPr>
          <w:i/>
          <w:iCs/>
        </w:rPr>
        <w:t xml:space="preserve">Ex post </w:t>
      </w:r>
      <w:r>
        <w:rPr/>
        <w:t>imposition of cost of service rates is not one of them.</w:t>
      </w:r>
    </w:p>
    <w:p>
      <w:pPr>
        <w:pStyle w:val="Heading2"/>
        <w:rPr/>
      </w:pPr>
      <w:r>
        <w:rPr/>
        <w:t>Defining a minimum just and reasonable standard</w:t>
      </w:r>
    </w:p>
    <w:p>
      <w:pPr>
        <w:pStyle w:val="NormalHanging"/>
        <w:tabs>
          <w:tab w:val="left" w:pos="720" w:leader="none"/>
        </w:tabs>
        <w:spacing w:lineRule="auto" w:line="480" w:before="0" w:after="0"/>
        <w:rPr/>
      </w:pPr>
      <w:r>
        <w:rPr/>
        <w:t>Q.</w:t>
        <w:tab/>
        <w:t>How should “just and reasonable” outcomes be determined in the market-based context?</w:t>
      </w:r>
    </w:p>
    <w:p>
      <w:pPr>
        <w:pStyle w:val="NormalHanging"/>
        <w:tabs>
          <w:tab w:val="left" w:pos="720" w:leader="none"/>
        </w:tabs>
        <w:spacing w:lineRule="auto" w:line="480" w:before="0" w:after="0"/>
        <w:rPr/>
      </w:pPr>
      <w:r>
        <w:rPr/>
        <w:t>A.</w:t>
        <w:tab/>
        <w:t xml:space="preserve">Most economists would agree, that, </w:t>
      </w:r>
      <w:r>
        <w:rPr>
          <w:i/>
          <w:iCs/>
        </w:rPr>
        <w:t>at a</w:t>
      </w:r>
      <w:r>
        <w:rPr/>
        <w:t xml:space="preserve"> </w:t>
      </w:r>
      <w:r>
        <w:rPr>
          <w:i/>
          <w:iCs/>
        </w:rPr>
        <w:t>minimum,</w:t>
      </w:r>
      <w:r>
        <w:rPr/>
        <w:t xml:space="preserve"> market-based prices that reflected the supply and demand under conditions of perfect competition are just and reasonable. Such prices should reflect economic short-run marginal costs (SRMC). If such prices are not just and reasonable, even as a hypothetical case, then market-based rates for sales of electricity can never be just and reasonable. So common sense suggests that this is a true lower bound.</w:t>
      </w:r>
    </w:p>
    <w:p>
      <w:pPr>
        <w:pStyle w:val="NormalHanging"/>
        <w:tabs>
          <w:tab w:val="left" w:pos="720" w:leader="none"/>
        </w:tabs>
        <w:spacing w:lineRule="auto" w:line="480" w:before="0" w:after="0"/>
        <w:rPr/>
      </w:pPr>
      <w:r>
        <w:rPr/>
        <w:t>Q.</w:t>
        <w:tab/>
        <w:t>Two witnesses in this proceeding, Philip Movish and Robert McCullough, have estimated “true” marginal clearing prices based on marginal production costs. Do marginal production costs equate to the short-run marginal costs described above?</w:t>
      </w:r>
    </w:p>
    <w:p>
      <w:pPr>
        <w:pStyle w:val="NormalHanging"/>
        <w:tabs>
          <w:tab w:val="left" w:pos="720" w:leader="none"/>
        </w:tabs>
        <w:spacing w:lineRule="auto" w:line="480" w:before="0" w:after="0"/>
        <w:rPr/>
      </w:pPr>
      <w:r>
        <w:rPr/>
        <w:t>A.</w:t>
        <w:tab/>
        <w:t xml:space="preserve">No. SRMC necessarily includes scarcity values or rents in periods where supply is scarce. Without such scarcity values the market can never clear efficiently. McCullough and Movish ignore scarcity values.  This is a fundamental flaw. </w:t>
      </w:r>
    </w:p>
    <w:p>
      <w:pPr>
        <w:pStyle w:val="NormalHanging"/>
        <w:tabs>
          <w:tab w:val="left" w:pos="720" w:leader="none"/>
        </w:tabs>
        <w:spacing w:lineRule="auto" w:line="480" w:before="0" w:after="0"/>
        <w:rPr/>
      </w:pPr>
      <w:r>
        <w:rPr/>
        <w:t>Q.</w:t>
        <w:tab/>
        <w:t>Please describe scarcity value in the context of the PNW market.</w:t>
      </w:r>
    </w:p>
    <w:p>
      <w:pPr>
        <w:pStyle w:val="NormalHanging"/>
        <w:tabs>
          <w:tab w:val="left" w:pos="720" w:leader="none"/>
        </w:tabs>
        <w:spacing w:lineRule="auto" w:line="480" w:before="0" w:after="0"/>
        <w:rPr/>
      </w:pPr>
      <w:r>
        <w:rPr/>
        <w:t>A.</w:t>
        <w:tab/>
        <w:t xml:space="preserve">In the PNW, where stored water is a primary generation source, SRMC includes the opportunity cost of generating power now instead of later. If water is scarce, as it was in the drought that occurred in the PNW in the winter of 2000-2001, this opportunity cost should reflect expectations that by generating now, sales cannot be made later, and some load may not be served in the future. As the cost of unserved energy is in general high, this implies that a perfectly functioning wholesale power market would, under expectations of scarcity, produce prices that exceed the marginal production cost of any thermal unit in the PNW. The price benchmarks of Messrs. Movish and McCullough exclude this opportunity cost and are therefore not reasonable. </w:t>
      </w:r>
    </w:p>
    <w:p>
      <w:pPr>
        <w:pStyle w:val="NormalHanging"/>
        <w:tabs>
          <w:tab w:val="left" w:pos="720" w:leader="none"/>
        </w:tabs>
        <w:spacing w:lineRule="auto" w:line="480" w:before="0" w:after="0"/>
        <w:rPr/>
      </w:pPr>
      <w:r>
        <w:rPr/>
        <w:t>Q.</w:t>
        <w:tab/>
        <w:t>Were there signs of impending hydroelectric scarcity generation during the refund period?</w:t>
      </w:r>
    </w:p>
    <w:p>
      <w:pPr>
        <w:pStyle w:val="NormalHanging"/>
        <w:tabs>
          <w:tab w:val="left" w:pos="720" w:leader="none"/>
        </w:tabs>
        <w:spacing w:lineRule="auto" w:line="480" w:before="0" w:after="0"/>
        <w:rPr/>
      </w:pPr>
      <w:r>
        <w:rPr/>
        <w:t xml:space="preserve">A. </w:t>
        <w:tab/>
        <w:t>Yes. As noted by Mr. Van Vactor in his testimony, the Pacific Northwest Power Planning Council and other federal agencies repeatedly issued warnings about the expected low levels of hydroelectric generation in the PNW leading up to the refund period.  These warnings were made as early as spring 2000, and were amplified and reiterated in the autumn of 2000. Since much of the electricity that can be generated in the Northwest comes from water, reasonable expectations of scarcity existed.</w:t>
      </w:r>
    </w:p>
    <w:p>
      <w:pPr>
        <w:pStyle w:val="Heading2"/>
        <w:rPr/>
      </w:pPr>
      <w:r>
        <w:rPr/>
        <w:t>Methodology proposed by Mr. McCullough</w:t>
      </w:r>
    </w:p>
    <w:p>
      <w:pPr>
        <w:pStyle w:val="NormalHanging"/>
        <w:tabs>
          <w:tab w:val="left" w:pos="720" w:leader="none"/>
        </w:tabs>
        <w:spacing w:lineRule="auto" w:line="480" w:before="0" w:after="0"/>
        <w:rPr/>
      </w:pPr>
      <w:r>
        <w:rPr/>
        <w:t>Q.</w:t>
        <w:tab/>
        <w:t>Mr. McCullough, in his testimony, purports to develop a “fair and reasonable” price based on the cost of the marginal thermal resources dispatched. Do you agree?</w:t>
      </w:r>
    </w:p>
    <w:p>
      <w:pPr>
        <w:pStyle w:val="NormalHanging"/>
        <w:tabs>
          <w:tab w:val="left" w:pos="720" w:leader="none"/>
        </w:tabs>
        <w:spacing w:lineRule="auto" w:line="480" w:before="0" w:after="0"/>
        <w:rPr/>
      </w:pPr>
      <w:r>
        <w:rPr/>
        <w:t>A.</w:t>
        <w:tab/>
        <w:t xml:space="preserve">No. Mr. McCullough’s methodology is based on some highly flawed assumptions. Mr. McCullough assumes a “big battery” theory of hydro operations in the PNW. His analysis views the hydro system as a “battery” of almost unlimited capacity, so the cost of supplying an additional MWh of electricity is simply the cost incurred in “charging the battery” with an additional unit of output of any thermal unit available during the period. </w:t>
      </w:r>
    </w:p>
    <w:p>
      <w:pPr>
        <w:pStyle w:val="NormalHanging"/>
        <w:tabs>
          <w:tab w:val="left" w:pos="720" w:leader="none"/>
        </w:tabs>
        <w:spacing w:lineRule="auto" w:line="480" w:before="0" w:after="0"/>
        <w:rPr/>
      </w:pPr>
      <w:r>
        <w:rPr/>
        <w:t>Q.</w:t>
        <w:tab/>
        <w:t>Is this assumption a valid one?</w:t>
      </w:r>
    </w:p>
    <w:p>
      <w:pPr>
        <w:pStyle w:val="NormalHanging"/>
        <w:tabs>
          <w:tab w:val="left" w:pos="720" w:leader="none"/>
        </w:tabs>
        <w:spacing w:lineRule="auto" w:line="480" w:before="0" w:after="0"/>
        <w:rPr/>
      </w:pPr>
      <w:r>
        <w:rPr/>
        <w:t>A.</w:t>
        <w:tab/>
        <w:t>No. It ignores the very real constraints that limit the ability of the PNW hydro system to store water and release it to produce power over time. These constraints are well known and are addressed in the testimony of Mr. Van Vactor and Dr. Tabors:</w:t>
      </w:r>
    </w:p>
    <w:p>
      <w:pPr>
        <w:pStyle w:val="NormalHanging"/>
        <w:numPr>
          <w:ilvl w:val="0"/>
          <w:numId w:val="5"/>
        </w:numPr>
        <w:spacing w:lineRule="auto" w:line="480" w:before="0" w:after="0"/>
        <w:rPr/>
      </w:pPr>
      <w:r>
        <w:rPr/>
        <w:t>The ability to store water is in fact limited. My understanding is that the general practice is to fill reservoirs in the spring when the snow melts, and to release water in other periods in response to demand. When the spring runoff season is in full swing water often has to be “spilled”; constraints on reservoir capacity prevent it from being kept for later use.</w:t>
      </w:r>
    </w:p>
    <w:p>
      <w:pPr>
        <w:pStyle w:val="NormalHanging"/>
        <w:numPr>
          <w:ilvl w:val="0"/>
          <w:numId w:val="5"/>
        </w:numPr>
        <w:spacing w:lineRule="auto" w:line="480" w:before="0" w:after="0"/>
        <w:rPr/>
      </w:pPr>
      <w:r>
        <w:rPr/>
        <w:t>Hydroelectric resources in the PNW are subject to numerous environmental constraints on their operations, which force operators to use water in specific periods rather than storing it for optimal power production. These constraints, for example, include minimum flow levels required to protect salmon and other species.</w:t>
      </w:r>
    </w:p>
    <w:p>
      <w:pPr>
        <w:pStyle w:val="NormalHanging"/>
        <w:numPr>
          <w:ilvl w:val="0"/>
          <w:numId w:val="5"/>
        </w:numPr>
        <w:spacing w:lineRule="auto" w:line="480" w:before="0" w:after="0"/>
        <w:rPr/>
      </w:pPr>
      <w:r>
        <w:rPr/>
        <w:t>It is also my understanding that hydroelectric operators prefer to keep minimum reservoir levels to ensure a base level of generation in the future, given the uncertainty over future precipitation, demand levels, etc. Over the winter of 2000 and 2001 reservoir levels were well below normal levels. Using water in this period to generate power might have increased the chances of large blackouts later in the year. One might speculate that hydro operators in the PNW were rather averse to the idea of blackouts, and hence might have wished to shepherd their water releases carefully.</w:t>
      </w:r>
    </w:p>
    <w:p>
      <w:pPr>
        <w:pStyle w:val="NormalHanging"/>
        <w:spacing w:lineRule="auto" w:line="480" w:before="0" w:after="0"/>
        <w:ind w:hanging="0" w:end="0"/>
        <w:rPr/>
      </w:pPr>
      <w:r>
        <w:rPr/>
        <w:t xml:space="preserve">Mr. McCullough’s methodology would be economically valid </w:t>
      </w:r>
      <w:r>
        <w:rPr>
          <w:i/>
          <w:iCs/>
        </w:rPr>
        <w:t>only if</w:t>
      </w:r>
      <w:r>
        <w:rPr/>
        <w:t xml:space="preserve"> there were no or very limited constraints on the ability to store water across long periods. Actual operations of hydroelectric resources in the PNW, most of which are operated by public agencies, not private firms, suggests that the opposite is true. </w:t>
      </w:r>
    </w:p>
    <w:p>
      <w:pPr>
        <w:pStyle w:val="NormalHanging"/>
        <w:spacing w:lineRule="auto" w:line="480" w:before="0" w:after="0"/>
        <w:rPr/>
      </w:pPr>
      <w:r>
        <w:rPr/>
        <w:t>Q.</w:t>
        <w:tab/>
        <w:t>Do you accept the methodology provided by Mr. McCullough as an appropriate methodology for determining just and reasonable rates over the relevant period?</w:t>
      </w:r>
    </w:p>
    <w:p>
      <w:pPr>
        <w:pStyle w:val="NormalHanging"/>
        <w:spacing w:lineRule="auto" w:line="480" w:before="0" w:after="0"/>
        <w:rPr/>
      </w:pPr>
      <w:r>
        <w:rPr/>
        <w:t>A.</w:t>
        <w:tab/>
        <w:t xml:space="preserve">No, I do not. The proposed methodology is at odds with economic logic and with the key characteristics of the hydroelectric system in the PNW. </w:t>
      </w:r>
    </w:p>
    <w:p>
      <w:pPr>
        <w:pStyle w:val="NormalHanging"/>
        <w:spacing w:lineRule="auto" w:line="480" w:before="0" w:after="0"/>
        <w:rPr/>
      </w:pPr>
      <w:r>
        <w:rPr/>
        <w:t>Q.</w:t>
        <w:tab/>
        <w:t>In a graph in his testimony, Mr. McCullough purports to show the monthly level of thermal resources needed to meet PNW loads, after subtracting the level of hydroelectric, nuclear and “other” generation in the PNW region. Do you agree with this graph and calculation?</w:t>
      </w:r>
    </w:p>
    <w:p>
      <w:pPr>
        <w:pStyle w:val="NormalHanging"/>
        <w:spacing w:lineRule="auto" w:line="480" w:before="0" w:after="0"/>
        <w:rPr/>
      </w:pPr>
      <w:r>
        <w:rPr/>
        <w:t>Q.</w:t>
        <w:tab/>
        <w:t xml:space="preserve">No. The graph is misleading. The graph and analysis pretend that the U.S. side of PNW market is an island, and that there are no exports or imports from other regions. This is untrue. The PNW market is in fact generally integrated with other sub-regional markets in the WSCC, a point noted by other witnesses and the Commission.  A calculation that “dispatches” PNW resources to meet only PNW loads incorrectly defines the market. </w:t>
      </w:r>
    </w:p>
    <w:p>
      <w:pPr>
        <w:pStyle w:val="NormalHanging"/>
        <w:spacing w:lineRule="auto" w:line="480" w:before="0" w:after="0"/>
        <w:rPr/>
      </w:pPr>
      <w:r>
        <w:rPr/>
        <w:t>Q.</w:t>
        <w:tab/>
        <w:t>Mr. McCullough graphically presents Dow Jones spot Mid-C prices and Seattle bid and ask prices for third quarter (3Q) forward contracts, to demonstrate that what he considers to be unjust and unreasonable spot prices caused unjust and unreasonable forward prices. Do you agree?</w:t>
      </w:r>
    </w:p>
    <w:p>
      <w:pPr>
        <w:pStyle w:val="NormalHanging"/>
        <w:spacing w:lineRule="auto" w:line="480" w:before="0" w:after="0"/>
        <w:rPr/>
      </w:pPr>
      <w:r>
        <w:rPr/>
        <w:t>A.</w:t>
        <w:tab/>
        <w:t>No. There are a number of clear and fundamental problems with this analysis. These are:</w:t>
      </w:r>
    </w:p>
    <w:p>
      <w:pPr>
        <w:pStyle w:val="NormalHanging"/>
        <w:numPr>
          <w:ilvl w:val="0"/>
          <w:numId w:val="3"/>
        </w:numPr>
        <w:spacing w:lineRule="auto" w:line="480" w:before="0" w:after="0"/>
        <w:rPr/>
      </w:pPr>
      <w:r>
        <w:rPr/>
        <w:t>Mr. McCullough has considered only a Dow Jones spot index for non-firm transactions at Mid-Columbia as a plausible explanation for the 3Q bids. This is highly misleading, since in fact a much better relationship is found between the 3Q bids and the forward prices for natural gas delivered at Malin.</w:t>
      </w:r>
      <w:r>
        <w:rPr>
          <w:rStyle w:val="FootnoteCharacters"/>
          <w:rStyle w:val="FootnoteReference"/>
        </w:rPr>
        <w:footnoteReference w:id="4"/>
      </w:r>
      <w:r>
        <w:rPr/>
        <w:t xml:space="preserve"> A direct comparison of the ‘fit’ proposed by Mr. McCullough and that using delivered gas prices is shown in </w:t>
      </w:r>
      <w:r>
        <w:rPr/>
        <w:fldChar w:fldCharType="begin"/>
      </w:r>
      <w:r>
        <w:rPr/>
        <w:instrText xml:space="preserve"> REF _Ref523388294 \h </w:instrText>
      </w:r>
      <w:r>
        <w:rPr/>
        <w:fldChar w:fldCharType="separate"/>
      </w:r>
      <w:r>
        <w:rPr/>
        <w:t>Exhibit 1</w:t>
      </w:r>
      <w:r>
        <w:rPr/>
        <w:fldChar w:fldCharType="end"/>
      </w:r>
      <w:r>
        <w:rPr/>
        <w:t xml:space="preserve"> and </w:t>
      </w:r>
      <w:r>
        <w:rPr/>
        <w:fldChar w:fldCharType="begin"/>
      </w:r>
      <w:r>
        <w:rPr/>
        <w:instrText xml:space="preserve"> REF _Ref523389679 \h </w:instrText>
      </w:r>
      <w:r>
        <w:rPr/>
        <w:fldChar w:fldCharType="separate"/>
      </w:r>
      <w:r>
        <w:rPr/>
        <w:t>Exhibit 2</w:t>
      </w:r>
      <w:r>
        <w:rPr/>
        <w:fldChar w:fldCharType="end"/>
      </w:r>
      <w:r>
        <w:rPr/>
        <w:t>.</w:t>
      </w:r>
    </w:p>
    <w:p>
      <w:pPr>
        <w:pStyle w:val="NormalHanging"/>
        <w:numPr>
          <w:ilvl w:val="0"/>
          <w:numId w:val="3"/>
        </w:numPr>
        <w:spacing w:lineRule="auto" w:line="480" w:before="0" w:after="0"/>
        <w:rPr/>
      </w:pPr>
      <w:r>
        <w:rPr/>
        <w:t>The simple correlation coefficient between the 3Q bids and the Dow Jones index is 0.73, while the correlation between the 3Q bids and the 3Q forward price for gas at Malin is 0.96.</w:t>
      </w:r>
      <w:r>
        <w:rPr>
          <w:rStyle w:val="FootnoteCharacters"/>
          <w:rStyle w:val="FootnoteReference"/>
        </w:rPr>
        <w:footnoteReference w:id="5"/>
      </w:r>
      <w:r>
        <w:rPr/>
        <w:t xml:space="preserve"> Simply put, forward electricity prices are more closely linked to forward gas prices than to spot electricity prices.</w:t>
      </w:r>
      <w:r>
        <mc:AlternateContent>
          <mc:Choice Requires="wps">
            <w:drawing>
              <wp:anchor behindDoc="0" distT="0" distB="0" distL="0" distR="114300" simplePos="0" locked="0" layoutInCell="0" allowOverlap="1" relativeHeight="2">
                <wp:simplePos x="0" y="0"/>
                <wp:positionH relativeFrom="column">
                  <wp:posOffset>-22225</wp:posOffset>
                </wp:positionH>
                <wp:positionV relativeFrom="paragraph">
                  <wp:posOffset>635</wp:posOffset>
                </wp:positionV>
                <wp:extent cx="5302250" cy="7933055"/>
                <wp:effectExtent l="0" t="0" r="0" b="0"/>
                <wp:wrapSquare wrapText="bothSides"/>
                <wp:docPr id="1" name="Frame1"/>
                <a:graphic xmlns:a="http://schemas.openxmlformats.org/drawingml/2006/main">
                  <a:graphicData uri="http://schemas.microsoft.com/office/word/2010/wordprocessingShape">
                    <wps:wsp>
                      <wps:cNvSpPr txBox="1"/>
                      <wps:spPr>
                        <a:xfrm>
                          <a:off x="0" y="0"/>
                          <a:ext cx="5302250" cy="7933055"/>
                        </a:xfrm>
                        <a:prstGeom prst="rect"/>
                        <a:solidFill>
                          <a:srgbClr val="FFFFFF">
                            <a:alpha val="0"/>
                          </a:srgbClr>
                        </a:solidFill>
                        <a:ln w="9525">
                          <a:solidFill>
                            <a:srgbClr val="000000"/>
                          </a:solidFill>
                        </a:ln>
                      </wps:spPr>
                      <wps:txbx>
                        <w:txbxContent>
                          <w:p>
                            <w:pPr>
                              <w:pStyle w:val="Caption"/>
                              <w:keepNext w:val="true"/>
                              <w:spacing w:before="120" w:after="240"/>
                              <w:rPr/>
                            </w:pPr>
                            <w:bookmarkStart w:id="0" w:name="_Ref523388294"/>
                            <w:r>
                              <w:rPr/>
                              <w:t xml:space="preserve">Exhibit </w:t>
                            </w:r>
                            <w:r>
                              <w:rPr/>
                              <w:fldChar w:fldCharType="begin"/>
                            </w:r>
                            <w:r>
                              <w:rPr/>
                              <w:instrText xml:space="preserve"> SEQ Exhibit \* ARABIC </w:instrText>
                            </w:r>
                            <w:r>
                              <w:rPr/>
                              <w:fldChar w:fldCharType="separate"/>
                            </w:r>
                            <w:r>
                              <w:rPr/>
                              <w:t>1</w:t>
                            </w:r>
                            <w:r>
                              <w:rPr/>
                              <w:fldChar w:fldCharType="end"/>
                            </w:r>
                            <w:bookmarkEnd w:id="0"/>
                            <w:r>
                              <w:rPr/>
                              <w:t>. ‘McCullough graph’: Seattle City Light</w:t>
                            </w:r>
                            <w:r>
                              <w:rPr>
                                <w:lang w:val="en-CA" w:eastAsia="en-CA"/>
                              </w:rPr>
                              <w:t xml:space="preserve">  3Q bids vs. Dow Jones daily index at Mid-C</w:t>
                            </w:r>
                          </w:p>
                          <w:p>
                            <w:pPr>
                              <w:pStyle w:val="Normal"/>
                              <w:jc w:val="center"/>
                              <w:rPr/>
                            </w:pPr>
                            <w:r>
                              <w:rPr/>
                              <w:drawing>
                                <wp:inline distT="0" distB="0" distL="0" distR="0">
                                  <wp:extent cx="4970145" cy="33985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6" r="-4" b="-6"/>
                                          <a:stretch>
                                            <a:fillRect/>
                                          </a:stretch>
                                        </pic:blipFill>
                                        <pic:spPr bwMode="auto">
                                          <a:xfrm>
                                            <a:off x="0" y="0"/>
                                            <a:ext cx="4970145" cy="3398520"/>
                                          </a:xfrm>
                                          <a:prstGeom prst="rect">
                                            <a:avLst/>
                                          </a:prstGeom>
                                          <a:noFill/>
                                        </pic:spPr>
                                      </pic:pic>
                                    </a:graphicData>
                                  </a:graphic>
                                </wp:inline>
                              </w:drawing>
                            </w:r>
                          </w:p>
                          <w:p>
                            <w:pPr>
                              <w:pStyle w:val="Caption"/>
                              <w:keepNext w:val="true"/>
                              <w:rPr/>
                            </w:pPr>
                            <w:bookmarkStart w:id="1" w:name="_Ref523389679"/>
                            <w:r>
                              <w:rPr/>
                              <w:t xml:space="preserve">Exhibit </w:t>
                            </w:r>
                            <w:r>
                              <w:rPr/>
                              <w:fldChar w:fldCharType="begin"/>
                            </w:r>
                            <w:r>
                              <w:rPr/>
                              <w:instrText xml:space="preserve"> SEQ Exhibit \* ARABIC </w:instrText>
                            </w:r>
                            <w:r>
                              <w:rPr/>
                              <w:fldChar w:fldCharType="separate"/>
                            </w:r>
                            <w:r>
                              <w:rPr/>
                              <w:t>2</w:t>
                            </w:r>
                            <w:r>
                              <w:rPr/>
                              <w:fldChar w:fldCharType="end"/>
                            </w:r>
                            <w:bookmarkEnd w:id="1"/>
                            <w:r>
                              <w:rPr/>
                              <w:t xml:space="preserve">. </w:t>
                            </w:r>
                            <w:bookmarkStart w:id="2" w:name="_Ref523388302"/>
                            <w:r>
                              <w:rPr/>
                              <w:t>Seattle City Light 3Q bids vs. 3Q forward price of gas at Malin</w:t>
                            </w:r>
                            <w:bookmarkEnd w:id="2"/>
                          </w:p>
                          <w:p>
                            <w:pPr>
                              <w:pStyle w:val="Normal"/>
                              <w:spacing w:before="0" w:after="240"/>
                              <w:jc w:val="center"/>
                              <w:rPr/>
                            </w:pPr>
                            <w:r>
                              <w:rPr/>
                              <w:drawing>
                                <wp:inline distT="0" distB="0" distL="0" distR="0">
                                  <wp:extent cx="4970145" cy="339852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4" t="-6" r="-4" b="-6"/>
                                          <a:stretch>
                                            <a:fillRect/>
                                          </a:stretch>
                                        </pic:blipFill>
                                        <pic:spPr bwMode="auto">
                                          <a:xfrm>
                                            <a:off x="0" y="0"/>
                                            <a:ext cx="4970145" cy="339852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17.5pt;height:624.6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120" w:after="240"/>
                        <w:rPr/>
                      </w:pPr>
                      <w:bookmarkStart w:id="3" w:name="_Ref523388294"/>
                      <w:r>
                        <w:rPr/>
                        <w:t xml:space="preserve">Exhibit </w:t>
                      </w:r>
                      <w:r>
                        <w:rPr/>
                        <w:fldChar w:fldCharType="begin"/>
                      </w:r>
                      <w:r>
                        <w:rPr/>
                        <w:instrText xml:space="preserve"> SEQ Exhibit \* ARABIC </w:instrText>
                      </w:r>
                      <w:r>
                        <w:rPr/>
                        <w:fldChar w:fldCharType="separate"/>
                      </w:r>
                      <w:r>
                        <w:rPr/>
                        <w:t>1</w:t>
                      </w:r>
                      <w:r>
                        <w:rPr/>
                        <w:fldChar w:fldCharType="end"/>
                      </w:r>
                      <w:bookmarkEnd w:id="3"/>
                      <w:r>
                        <w:rPr/>
                        <w:t>. ‘McCullough graph’: Seattle City Light</w:t>
                      </w:r>
                      <w:r>
                        <w:rPr>
                          <w:lang w:val="en-CA" w:eastAsia="en-CA"/>
                        </w:rPr>
                        <w:t xml:space="preserve">  3Q bids vs. Dow Jones daily index at Mid-C</w:t>
                      </w:r>
                    </w:p>
                    <w:p>
                      <w:pPr>
                        <w:pStyle w:val="Normal"/>
                        <w:jc w:val="center"/>
                        <w:rPr/>
                      </w:pPr>
                      <w:r>
                        <w:rPr/>
                        <w:drawing>
                          <wp:inline distT="0" distB="0" distL="0" distR="0">
                            <wp:extent cx="4970145" cy="3398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4"/>
                                    <a:srcRect l="-4" t="-6" r="-4" b="-6"/>
                                    <a:stretch>
                                      <a:fillRect/>
                                    </a:stretch>
                                  </pic:blipFill>
                                  <pic:spPr bwMode="auto">
                                    <a:xfrm>
                                      <a:off x="0" y="0"/>
                                      <a:ext cx="4970145" cy="3398520"/>
                                    </a:xfrm>
                                    <a:prstGeom prst="rect">
                                      <a:avLst/>
                                    </a:prstGeom>
                                    <a:noFill/>
                                  </pic:spPr>
                                </pic:pic>
                              </a:graphicData>
                            </a:graphic>
                          </wp:inline>
                        </w:drawing>
                      </w:r>
                    </w:p>
                    <w:p>
                      <w:pPr>
                        <w:pStyle w:val="Caption"/>
                        <w:keepNext w:val="true"/>
                        <w:rPr/>
                      </w:pPr>
                      <w:bookmarkStart w:id="4" w:name="_Ref523389679"/>
                      <w:r>
                        <w:rPr/>
                        <w:t xml:space="preserve">Exhibit </w:t>
                      </w:r>
                      <w:r>
                        <w:rPr/>
                        <w:fldChar w:fldCharType="begin"/>
                      </w:r>
                      <w:r>
                        <w:rPr/>
                        <w:instrText xml:space="preserve"> SEQ Exhibit \* ARABIC </w:instrText>
                      </w:r>
                      <w:r>
                        <w:rPr/>
                        <w:fldChar w:fldCharType="separate"/>
                      </w:r>
                      <w:r>
                        <w:rPr/>
                        <w:t>2</w:t>
                      </w:r>
                      <w:r>
                        <w:rPr/>
                        <w:fldChar w:fldCharType="end"/>
                      </w:r>
                      <w:bookmarkEnd w:id="4"/>
                      <w:r>
                        <w:rPr/>
                        <w:t xml:space="preserve">. </w:t>
                      </w:r>
                      <w:bookmarkStart w:id="5" w:name="_Ref523388302"/>
                      <w:r>
                        <w:rPr/>
                        <w:t>Seattle City Light 3Q bids vs. 3Q forward price of gas at Malin</w:t>
                      </w:r>
                      <w:bookmarkEnd w:id="5"/>
                    </w:p>
                    <w:p>
                      <w:pPr>
                        <w:pStyle w:val="Normal"/>
                        <w:spacing w:before="0" w:after="240"/>
                        <w:jc w:val="center"/>
                        <w:rPr/>
                      </w:pPr>
                      <w:r>
                        <w:rPr/>
                        <w:drawing>
                          <wp:inline distT="0" distB="0" distL="0" distR="0">
                            <wp:extent cx="4970145" cy="339852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5"/>
                                    <a:srcRect l="-4" t="-6" r="-4" b="-6"/>
                                    <a:stretch>
                                      <a:fillRect/>
                                    </a:stretch>
                                  </pic:blipFill>
                                  <pic:spPr bwMode="auto">
                                    <a:xfrm>
                                      <a:off x="0" y="0"/>
                                      <a:ext cx="4970145" cy="3398520"/>
                                    </a:xfrm>
                                    <a:prstGeom prst="rect">
                                      <a:avLst/>
                                    </a:prstGeom>
                                    <a:noFill/>
                                  </pic:spPr>
                                </pic:pic>
                              </a:graphicData>
                            </a:graphic>
                          </wp:inline>
                        </w:drawing>
                      </w:r>
                    </w:p>
                  </w:txbxContent>
                </v:textbox>
                <w10:wrap type="square"/>
              </v:rect>
            </w:pict>
          </mc:Fallback>
        </mc:AlternateContent>
      </w:r>
    </w:p>
    <w:p>
      <w:pPr>
        <w:pStyle w:val="NormalHanging"/>
        <w:numPr>
          <w:ilvl w:val="0"/>
          <w:numId w:val="3"/>
        </w:numPr>
        <w:spacing w:lineRule="auto" w:line="480" w:before="0" w:after="0"/>
        <w:rPr/>
      </w:pPr>
      <w:r>
        <w:rPr/>
        <w:t xml:space="preserve">The superior relationship of 3Q bids to 3Q natural gas prices over that proposed by Mr. McCullough is even more striking when only data for the refund study period is examined. This comparison is shown in </w:t>
      </w:r>
      <w:r>
        <w:rPr/>
        <w:fldChar w:fldCharType="begin"/>
      </w:r>
      <w:r>
        <w:rPr/>
        <w:instrText xml:space="preserve"> REF _Ref523389364 \h </w:instrText>
      </w:r>
      <w:r>
        <w:rPr/>
        <w:fldChar w:fldCharType="separate"/>
      </w:r>
      <w:r>
        <w:rPr/>
        <w:t>Exhibit 3</w:t>
      </w:r>
      <w:r>
        <w:rPr/>
        <w:fldChar w:fldCharType="end"/>
      </w:r>
      <w:r>
        <w:rPr/>
        <w:t xml:space="preserve"> and </w:t>
      </w:r>
      <w:r>
        <w:rPr/>
        <w:fldChar w:fldCharType="begin"/>
      </w:r>
      <w:r>
        <w:rPr/>
        <w:instrText xml:space="preserve"> REF _Ref523389369 \h </w:instrText>
      </w:r>
      <w:r>
        <w:rPr/>
        <w:fldChar w:fldCharType="separate"/>
      </w:r>
      <w:r>
        <w:rPr/>
        <w:t>Exhibit 4</w:t>
      </w:r>
      <w:r>
        <w:rPr/>
        <w:fldChar w:fldCharType="end"/>
      </w:r>
      <w:r>
        <w:rPr/>
        <w:t>.</w:t>
      </w:r>
    </w:p>
    <w:p>
      <w:pPr>
        <w:pStyle w:val="NormalHanging"/>
        <w:spacing w:lineRule="auto" w:line="480" w:before="0" w:after="0"/>
        <w:ind w:hanging="0" w:end="0"/>
        <w:rPr/>
      </w:pPr>
      <w:r>
        <w:rPr/>
      </w:r>
      <w:r>
        <mc:AlternateContent>
          <mc:Choice Requires="wps">
            <w:drawing>
              <wp:anchor behindDoc="0" distT="0" distB="0" distL="0" distR="114300" simplePos="0" locked="0" layoutInCell="0" allowOverlap="1" relativeHeight="5">
                <wp:simplePos x="0" y="0"/>
                <wp:positionH relativeFrom="column">
                  <wp:posOffset>-22225</wp:posOffset>
                </wp:positionH>
                <wp:positionV relativeFrom="paragraph">
                  <wp:posOffset>635</wp:posOffset>
                </wp:positionV>
                <wp:extent cx="5530850" cy="7772400"/>
                <wp:effectExtent l="0" t="0" r="0" b="0"/>
                <wp:wrapSquare wrapText="bothSides"/>
                <wp:docPr id="6" name="Frame2"/>
                <a:graphic xmlns:a="http://schemas.openxmlformats.org/drawingml/2006/main">
                  <a:graphicData uri="http://schemas.microsoft.com/office/word/2010/wordprocessingShape">
                    <wps:wsp>
                      <wps:cNvSpPr txBox="1"/>
                      <wps:spPr>
                        <a:xfrm>
                          <a:off x="0" y="0"/>
                          <a:ext cx="5530850" cy="7772400"/>
                        </a:xfrm>
                        <a:prstGeom prst="rect"/>
                        <a:solidFill>
                          <a:srgbClr val="FFFFFF">
                            <a:alpha val="0"/>
                          </a:srgbClr>
                        </a:solidFill>
                        <a:ln w="9525">
                          <a:solidFill>
                            <a:srgbClr val="000000"/>
                          </a:solidFill>
                        </a:ln>
                      </wps:spPr>
                      <wps:txbx>
                        <w:txbxContent>
                          <w:p>
                            <w:pPr>
                              <w:pStyle w:val="Caption"/>
                              <w:keepNext w:val="true"/>
                              <w:spacing w:before="120" w:after="240"/>
                              <w:jc w:val="start"/>
                              <w:rPr/>
                            </w:pPr>
                            <w:bookmarkStart w:id="6" w:name="_Ref523389364"/>
                            <w:r>
                              <w:rPr/>
                              <w:t xml:space="preserve">Exhibit </w:t>
                            </w:r>
                            <w:r>
                              <w:rPr/>
                              <w:fldChar w:fldCharType="begin"/>
                            </w:r>
                            <w:r>
                              <w:rPr/>
                              <w:instrText xml:space="preserve"> SEQ Exhibit \* ARABIC </w:instrText>
                            </w:r>
                            <w:r>
                              <w:rPr/>
                              <w:fldChar w:fldCharType="separate"/>
                            </w:r>
                            <w:r>
                              <w:rPr/>
                              <w:t>3</w:t>
                            </w:r>
                            <w:r>
                              <w:rPr/>
                              <w:fldChar w:fldCharType="end"/>
                            </w:r>
                            <w:bookmarkEnd w:id="6"/>
                            <w:r>
                              <w:rPr/>
                              <w:t>. 'McCullough graph' during PNW refund period</w:t>
                            </w:r>
                          </w:p>
                          <w:p>
                            <w:pPr>
                              <w:pStyle w:val="Normal"/>
                              <w:jc w:val="center"/>
                              <w:rPr/>
                            </w:pPr>
                            <w:r>
                              <w:rPr/>
                              <w:drawing>
                                <wp:inline distT="0" distB="0" distL="0" distR="0">
                                  <wp:extent cx="4970145" cy="3398520"/>
                                  <wp:effectExtent l="0" t="0" r="0" b="0"/>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6"/>
                                          <a:srcRect l="-4" t="-6" r="-4" b="-6"/>
                                          <a:stretch>
                                            <a:fillRect/>
                                          </a:stretch>
                                        </pic:blipFill>
                                        <pic:spPr bwMode="auto">
                                          <a:xfrm>
                                            <a:off x="0" y="0"/>
                                            <a:ext cx="4970145" cy="3398520"/>
                                          </a:xfrm>
                                          <a:prstGeom prst="rect">
                                            <a:avLst/>
                                          </a:prstGeom>
                                          <a:noFill/>
                                        </pic:spPr>
                                      </pic:pic>
                                    </a:graphicData>
                                  </a:graphic>
                                </wp:inline>
                              </w:drawing>
                            </w:r>
                          </w:p>
                          <w:p>
                            <w:pPr>
                              <w:pStyle w:val="Caption"/>
                              <w:keepNext w:val="true"/>
                              <w:jc w:val="start"/>
                              <w:rPr/>
                            </w:pPr>
                            <w:bookmarkStart w:id="7" w:name="_Ref523389369"/>
                            <w:r>
                              <w:rPr/>
                              <w:t xml:space="preserve">Exhibit </w:t>
                            </w:r>
                            <w:r>
                              <w:rPr/>
                              <w:fldChar w:fldCharType="begin"/>
                            </w:r>
                            <w:r>
                              <w:rPr/>
                              <w:instrText xml:space="preserve"> SEQ Exhibit \* ARABIC </w:instrText>
                            </w:r>
                            <w:r>
                              <w:rPr/>
                              <w:fldChar w:fldCharType="separate"/>
                            </w:r>
                            <w:r>
                              <w:rPr/>
                              <w:t>4</w:t>
                            </w:r>
                            <w:r>
                              <w:rPr/>
                              <w:fldChar w:fldCharType="end"/>
                            </w:r>
                            <w:bookmarkEnd w:id="7"/>
                            <w:r>
                              <w:rPr/>
                              <w:t>. Forward power vs. forward gas during PNW refund period</w:t>
                            </w:r>
                          </w:p>
                          <w:p>
                            <w:pPr>
                              <w:pStyle w:val="Normal"/>
                              <w:spacing w:before="0" w:after="240"/>
                              <w:jc w:val="center"/>
                              <w:rPr/>
                            </w:pPr>
                            <w:r>
                              <w:rPr/>
                              <w:drawing>
                                <wp:inline distT="0" distB="0" distL="0" distR="0">
                                  <wp:extent cx="4970145" cy="3398520"/>
                                  <wp:effectExtent l="0" t="0" r="0" b="0"/>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7"/>
                                          <a:srcRect l="-4" t="-6" r="-4" b="-6"/>
                                          <a:stretch>
                                            <a:fillRect/>
                                          </a:stretch>
                                        </pic:blipFill>
                                        <pic:spPr bwMode="auto">
                                          <a:xfrm>
                                            <a:off x="0" y="0"/>
                                            <a:ext cx="4970145" cy="339852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35.5pt;height:612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120" w:after="240"/>
                        <w:jc w:val="start"/>
                        <w:rPr/>
                      </w:pPr>
                      <w:bookmarkStart w:id="8" w:name="_Ref523389364"/>
                      <w:r>
                        <w:rPr/>
                        <w:t xml:space="preserve">Exhibit </w:t>
                      </w:r>
                      <w:r>
                        <w:rPr/>
                        <w:fldChar w:fldCharType="begin"/>
                      </w:r>
                      <w:r>
                        <w:rPr/>
                        <w:instrText xml:space="preserve"> SEQ Exhibit \* ARABIC </w:instrText>
                      </w:r>
                      <w:r>
                        <w:rPr/>
                        <w:fldChar w:fldCharType="separate"/>
                      </w:r>
                      <w:r>
                        <w:rPr/>
                        <w:t>3</w:t>
                      </w:r>
                      <w:r>
                        <w:rPr/>
                        <w:fldChar w:fldCharType="end"/>
                      </w:r>
                      <w:bookmarkEnd w:id="8"/>
                      <w:r>
                        <w:rPr/>
                        <w:t>. 'McCullough graph' during PNW refund period</w:t>
                      </w:r>
                    </w:p>
                    <w:p>
                      <w:pPr>
                        <w:pStyle w:val="Normal"/>
                        <w:jc w:val="center"/>
                        <w:rPr/>
                      </w:pPr>
                      <w:r>
                        <w:rPr/>
                        <w:drawing>
                          <wp:inline distT="0" distB="0" distL="0" distR="0">
                            <wp:extent cx="4970145" cy="339852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8"/>
                                    <a:srcRect l="-4" t="-6" r="-4" b="-6"/>
                                    <a:stretch>
                                      <a:fillRect/>
                                    </a:stretch>
                                  </pic:blipFill>
                                  <pic:spPr bwMode="auto">
                                    <a:xfrm>
                                      <a:off x="0" y="0"/>
                                      <a:ext cx="4970145" cy="3398520"/>
                                    </a:xfrm>
                                    <a:prstGeom prst="rect">
                                      <a:avLst/>
                                    </a:prstGeom>
                                    <a:noFill/>
                                  </pic:spPr>
                                </pic:pic>
                              </a:graphicData>
                            </a:graphic>
                          </wp:inline>
                        </w:drawing>
                      </w:r>
                    </w:p>
                    <w:p>
                      <w:pPr>
                        <w:pStyle w:val="Caption"/>
                        <w:keepNext w:val="true"/>
                        <w:jc w:val="start"/>
                        <w:rPr/>
                      </w:pPr>
                      <w:bookmarkStart w:id="9" w:name="_Ref523389369"/>
                      <w:r>
                        <w:rPr/>
                        <w:t xml:space="preserve">Exhibit </w:t>
                      </w:r>
                      <w:r>
                        <w:rPr/>
                        <w:fldChar w:fldCharType="begin"/>
                      </w:r>
                      <w:r>
                        <w:rPr/>
                        <w:instrText xml:space="preserve"> SEQ Exhibit \* ARABIC </w:instrText>
                      </w:r>
                      <w:r>
                        <w:rPr/>
                        <w:fldChar w:fldCharType="separate"/>
                      </w:r>
                      <w:r>
                        <w:rPr/>
                        <w:t>4</w:t>
                      </w:r>
                      <w:r>
                        <w:rPr/>
                        <w:fldChar w:fldCharType="end"/>
                      </w:r>
                      <w:bookmarkEnd w:id="9"/>
                      <w:r>
                        <w:rPr/>
                        <w:t>. Forward power vs. forward gas during PNW refund period</w:t>
                      </w:r>
                    </w:p>
                    <w:p>
                      <w:pPr>
                        <w:pStyle w:val="Normal"/>
                        <w:spacing w:before="0" w:after="240"/>
                        <w:jc w:val="center"/>
                        <w:rPr/>
                      </w:pPr>
                      <w:r>
                        <w:rPr/>
                        <w:drawing>
                          <wp:inline distT="0" distB="0" distL="0" distR="0">
                            <wp:extent cx="4970145" cy="3398520"/>
                            <wp:effectExtent l="0" t="0" r="0" b="0"/>
                            <wp:docPr id="1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title=""/>
                                    <pic:cNvPicPr>
                                      <a:picLocks noChangeAspect="1" noChangeArrowheads="1"/>
                                    </pic:cNvPicPr>
                                  </pic:nvPicPr>
                                  <pic:blipFill>
                                    <a:blip r:embed="rId9"/>
                                    <a:srcRect l="-4" t="-6" r="-4" b="-6"/>
                                    <a:stretch>
                                      <a:fillRect/>
                                    </a:stretch>
                                  </pic:blipFill>
                                  <pic:spPr bwMode="auto">
                                    <a:xfrm>
                                      <a:off x="0" y="0"/>
                                      <a:ext cx="4970145" cy="3398520"/>
                                    </a:xfrm>
                                    <a:prstGeom prst="rect">
                                      <a:avLst/>
                                    </a:prstGeom>
                                    <a:noFill/>
                                  </pic:spPr>
                                </pic:pic>
                              </a:graphicData>
                            </a:graphic>
                          </wp:inline>
                        </w:drawing>
                      </w:r>
                    </w:p>
                  </w:txbxContent>
                </v:textbox>
                <w10:wrap type="square"/>
              </v:rect>
            </w:pict>
          </mc:Fallback>
        </mc:AlternateContent>
      </w:r>
    </w:p>
    <w:p>
      <w:pPr>
        <w:pStyle w:val="Heading2"/>
        <w:rPr/>
      </w:pPr>
      <w:r>
        <w:rPr/>
        <w:t>Methodology and testimony of Philip Movish</w:t>
      </w:r>
    </w:p>
    <w:p>
      <w:pPr>
        <w:pStyle w:val="NormalHanging"/>
        <w:spacing w:lineRule="auto" w:line="480" w:before="0" w:after="0"/>
        <w:rPr/>
      </w:pPr>
      <w:r>
        <w:rPr/>
        <w:t xml:space="preserve">Q. </w:t>
        <w:tab/>
        <w:t>Mr. Philip Movish, witness for Tacoma, derives a reference price methodology for determining refunds, from the variable cost of a gas-fired combustion turbine and PNW gas prices. Is this appropriate?</w:t>
      </w:r>
    </w:p>
    <w:p>
      <w:pPr>
        <w:pStyle w:val="NormalHanging"/>
        <w:spacing w:lineRule="auto" w:line="480" w:before="0" w:after="0"/>
        <w:rPr/>
      </w:pPr>
      <w:r>
        <w:rPr/>
        <w:t>A.</w:t>
        <w:tab/>
        <w:t>No. Mr. Movish commits the same fundamental economic errors as Mr. McCullough. The gas turbine-based reference price methodology does not recognize that market prices should exceed the marginal production costs of any unit on the system during periods of expected scarcity. To accept any form of market-based prices necessarily means accepting that prices should reflect SRMCs in an ideal case. This methodology does not reflect this fact, and is therefore economically incorrect.</w:t>
      </w:r>
    </w:p>
    <w:p>
      <w:pPr>
        <w:pStyle w:val="NormalHanging"/>
        <w:spacing w:lineRule="auto" w:line="480" w:before="0" w:after="0"/>
        <w:rPr/>
      </w:pPr>
      <w:r>
        <w:rPr/>
        <w:t>Q.</w:t>
        <w:tab/>
        <w:t>If such a marginal production cost-based refund methodology were to be implemented anyway, would it make sense to use the marginal production cost of the highest cost unit operating in the PNW at the time?</w:t>
      </w:r>
    </w:p>
    <w:p>
      <w:pPr>
        <w:pStyle w:val="NormalHanging"/>
        <w:spacing w:lineRule="auto" w:line="480" w:before="0" w:after="0"/>
        <w:rPr/>
      </w:pPr>
      <w:r>
        <w:rPr/>
        <w:t>A.</w:t>
        <w:tab/>
        <w:t xml:space="preserve">No. Even the Commission followed a path of error, and ordered refunds based on this specious marginal production cost methodology, it would be wrong even to use the marginal production cost of a unit in the Northwest. As has been noted by other witnesses, the PNW spot market is a component of a larger market that extends to California, the Rocky Mountain States and the desert Southwest. In most hours supply from almost any of the sub-regions can be used to meet an incremental unit of demand across the WSCC. Due to the integration of these markets, the appropriate way to implement such a refund methodology would be to pick the highest cost unit operating in the hour across the broader region, not the PNW sub-region. Again, however, I emphasize that the basic economic concepts underlying Mr. Movish’s testimony are flawed, and that such a refund methodology cannot be supported. </w:t>
      </w:r>
    </w:p>
    <w:p>
      <w:pPr>
        <w:pStyle w:val="NormalHanging"/>
        <w:spacing w:lineRule="auto" w:line="480" w:before="0" w:after="0"/>
        <w:rPr/>
      </w:pPr>
      <w:r>
        <w:rPr/>
        <w:t>Q.</w:t>
        <w:tab/>
        <w:t>Do you agree with Mr. Movish’s factual representations?</w:t>
      </w:r>
    </w:p>
    <w:p>
      <w:pPr>
        <w:pStyle w:val="NormalHanging"/>
        <w:spacing w:lineRule="auto" w:line="480" w:before="0" w:after="0"/>
        <w:rPr/>
      </w:pPr>
      <w:r>
        <w:rPr/>
        <w:t xml:space="preserve">A. </w:t>
        <w:tab/>
        <w:t>No. Mr. Movish states (at 8) that “at the time of the crisis, the California sub-market and the rest of the WSCC trading hubs had a ISO [independent system operator]; the California sub-market had both an ISO and PX”. This is incorrect. Other than California, no other region of the WSCC had an ISO.</w:t>
      </w:r>
    </w:p>
    <w:p>
      <w:pPr>
        <w:pStyle w:val="NormalHanging"/>
        <w:spacing w:lineRule="auto" w:line="480" w:before="0" w:after="0"/>
        <w:rPr/>
      </w:pPr>
      <w:r>
        <w:rPr/>
        <w:tab/>
        <w:t>With respect to transmission congestion, Mr. Movish indicates (at 12) “nodal pricing is the standard pricing model throughout the US.” This too is incorrect. Only PJM and the New York ISO have implemented nodal pricing to date; ISO New England has plans to do so. The rest of the country has no comparable method for pricing congestion.</w:t>
      </w:r>
    </w:p>
    <w:p>
      <w:pPr>
        <w:pStyle w:val="Heading1"/>
        <w:ind w:hanging="0" w:start="0"/>
        <w:rPr/>
      </w:pPr>
      <w:r>
        <w:rPr/>
        <w:t>Analysis of market dynamics</w:t>
      </w:r>
    </w:p>
    <w:p>
      <w:pPr>
        <w:pStyle w:val="Normal"/>
        <w:rPr/>
      </w:pPr>
      <w:r>
        <w:rPr/>
        <w:t>Q.</w:t>
        <w:tab/>
        <w:t>Please state the purpose of this section of your testimony.</w:t>
      </w:r>
    </w:p>
    <w:p>
      <w:pPr>
        <w:pStyle w:val="NormalHanging"/>
        <w:spacing w:lineRule="auto" w:line="480" w:before="0" w:after="0"/>
        <w:rPr/>
      </w:pPr>
      <w:r>
        <w:rPr/>
        <w:t>A.</w:t>
        <w:tab/>
        <w:t>This section of my testimony describes some of the market dynamics operating in the PNW market over the relevant period. In particular, I focus on the influence of hydroelectric availability and natural gas prices in driving PNW spot and forward electricity prices. This analysis shows that the patterns of spot and forward electricity prices were broadly consistent with normal expectations of how a market would react in the circumstances.</w:t>
      </w:r>
    </w:p>
    <w:p>
      <w:pPr>
        <w:pStyle w:val="Heading2"/>
        <w:rPr/>
      </w:pPr>
      <w:r>
        <w:rPr/>
        <w:t>Analysis of natural gas drivers of PNW electricity prices</w:t>
      </w:r>
    </w:p>
    <w:p>
      <w:pPr>
        <w:pStyle w:val="NormalHanging"/>
        <w:spacing w:lineRule="auto" w:line="480" w:before="0" w:after="0"/>
        <w:rPr/>
      </w:pPr>
      <w:r>
        <w:rPr/>
        <w:t>Q.</w:t>
        <w:tab/>
        <w:t>How does a party offering a forward electricity contract mitigate the uncertainty surrounding the cost of delivering on this commitment?</w:t>
      </w:r>
    </w:p>
    <w:p>
      <w:pPr>
        <w:pStyle w:val="Normal"/>
        <w:tabs>
          <w:tab w:val="left" w:pos="720" w:leader="none"/>
        </w:tabs>
        <w:spacing w:lineRule="auto" w:line="480" w:before="0" w:after="0"/>
        <w:ind w:hanging="720" w:start="720" w:end="0"/>
        <w:rPr/>
      </w:pPr>
      <w:r>
        <w:rPr/>
        <w:t>A.</w:t>
        <w:tab/>
        <w:t>One way is to ensure the party has the means to physically fulfill this obligation. The owner of a power plant, for example, can enter into a forward sales transaction and simultaneously purchase the fuel required to operate the plant. In this way, the seller minimizes their financial exposure in the transaction.</w:t>
      </w:r>
    </w:p>
    <w:p>
      <w:pPr>
        <w:pStyle w:val="Normal"/>
        <w:rPr/>
      </w:pPr>
      <w:r>
        <w:rPr/>
        <w:t xml:space="preserve">Q. </w:t>
        <w:tab/>
        <w:t>How would such a party hedge their exposure to fuel-cost based risks in the Northwest?</w:t>
      </w:r>
    </w:p>
    <w:p>
      <w:pPr>
        <w:pStyle w:val="NormalHanging"/>
        <w:tabs>
          <w:tab w:val="left" w:pos="720" w:leader="none"/>
        </w:tabs>
        <w:spacing w:lineRule="auto" w:line="480" w:before="0" w:after="0"/>
        <w:rPr/>
      </w:pPr>
      <w:r>
        <w:rPr/>
        <w:t>A.</w:t>
        <w:tab/>
        <w:t>Historic relationship between gas prices in the Northwest and those at Henry Hub allowed traders to hedge the majority of the cost of gas supplies through futures contracts at Henry Hub, traded through NYMEX. Traders hedged in this way are exposed only to the ‘basis risk’ – the possibility that gas delivered to the Northwest will cost more or less than that already secured at Henry Hub. In the period January 1999 to November 2000, for example, the price differences between spot gas at Henry Hub and at Malin averaged -$0.065/mmBtu. This represented an average discount of 2.9% compared to gas at Henry Hub.</w:t>
      </w:r>
    </w:p>
    <w:p>
      <w:pPr>
        <w:pStyle w:val="Normal"/>
        <w:tabs>
          <w:tab w:val="left" w:pos="720" w:leader="none"/>
        </w:tabs>
        <w:spacing w:lineRule="auto" w:line="480" w:before="0" w:after="0"/>
        <w:ind w:hanging="720" w:start="720" w:end="0"/>
        <w:rPr/>
      </w:pPr>
      <w:r>
        <w:rPr/>
        <w:tab/>
        <w:t xml:space="preserve">After November, 2000, however, this consistent price relationship no longer held. Over the period November 2000 through end of June, 2001, Malin gas traded at an average price of $3.46/mmBtu higher than Henry Hub – an average premium of 53%. This sharp divergence from historic price differences was accompanied by significant increase in the volatility of the difference, as shown in </w:t>
      </w:r>
      <w:r>
        <w:rPr/>
        <w:fldChar w:fldCharType="begin"/>
      </w:r>
      <w:r>
        <w:rPr/>
        <w:instrText xml:space="preserve"> REF _Ref523211076 \h </w:instrText>
      </w:r>
      <w:r>
        <w:rPr/>
        <w:fldChar w:fldCharType="separate"/>
      </w:r>
      <w:r>
        <w:rPr/>
        <w:t>Exhibit 5</w:t>
      </w:r>
      <w:r>
        <w:rPr/>
        <w:fldChar w:fldCharType="end"/>
      </w:r>
      <w:r>
        <w:rPr/>
        <w:t>.</w:t>
      </w:r>
    </w:p>
    <w:p>
      <w:pPr>
        <w:pStyle w:val="Normal"/>
        <w:tabs>
          <w:tab w:val="left" w:pos="720" w:leader="none"/>
        </w:tabs>
        <w:spacing w:lineRule="auto" w:line="480" w:before="0" w:after="0"/>
        <w:ind w:hanging="720" w:start="720" w:end="0"/>
        <w:rPr/>
      </w:pPr>
      <w:r>
        <w:rPr/>
      </w:r>
      <w:r>
        <mc:AlternateContent>
          <mc:Choice Requires="wps">
            <w:drawing>
              <wp:anchor behindDoc="0" distT="0" distB="0" distL="0" distR="114300" simplePos="0" locked="0" layoutInCell="0" allowOverlap="1" relativeHeight="8">
                <wp:simplePos x="0" y="0"/>
                <wp:positionH relativeFrom="column">
                  <wp:posOffset>-22225</wp:posOffset>
                </wp:positionH>
                <wp:positionV relativeFrom="paragraph">
                  <wp:posOffset>635</wp:posOffset>
                </wp:positionV>
                <wp:extent cx="5988050" cy="3803650"/>
                <wp:effectExtent l="0" t="0" r="0" b="0"/>
                <wp:wrapSquare wrapText="bothSides"/>
                <wp:docPr id="11" name="Frame3"/>
                <a:graphic xmlns:a="http://schemas.openxmlformats.org/drawingml/2006/main">
                  <a:graphicData uri="http://schemas.microsoft.com/office/word/2010/wordprocessingShape">
                    <wps:wsp>
                      <wps:cNvSpPr txBox="1"/>
                      <wps:spPr>
                        <a:xfrm>
                          <a:off x="0" y="0"/>
                          <a:ext cx="5988050" cy="3803650"/>
                        </a:xfrm>
                        <a:prstGeom prst="rect"/>
                        <a:solidFill>
                          <a:srgbClr val="FFFFFF">
                            <a:alpha val="0"/>
                          </a:srgbClr>
                        </a:solidFill>
                        <a:ln w="9525">
                          <a:solidFill>
                            <a:srgbClr val="000000"/>
                          </a:solidFill>
                        </a:ln>
                      </wps:spPr>
                      <wps:txbx>
                        <w:txbxContent>
                          <w:p>
                            <w:pPr>
                              <w:pStyle w:val="Caption"/>
                              <w:keepNext w:val="true"/>
                              <w:tabs>
                                <w:tab w:val="left" w:pos="720" w:leader="none"/>
                                <w:tab w:val="center" w:pos="4320" w:leader="none"/>
                                <w:tab w:val="right" w:pos="8640" w:leader="none"/>
                              </w:tabs>
                              <w:spacing w:lineRule="auto" w:line="480" w:before="120" w:after="0"/>
                              <w:ind w:hanging="720" w:start="720" w:end="0"/>
                              <w:rPr/>
                            </w:pPr>
                            <w:bookmarkStart w:id="10" w:name="_Ref523211076"/>
                            <w:r>
                              <w:rPr/>
                              <w:t xml:space="preserve">Exhibit </w:t>
                            </w:r>
                            <w:r>
                              <w:rPr/>
                              <w:fldChar w:fldCharType="begin"/>
                            </w:r>
                            <w:r>
                              <w:rPr/>
                              <w:instrText xml:space="preserve"> SEQ Exhibit \* ARABIC </w:instrText>
                            </w:r>
                            <w:r>
                              <w:rPr/>
                              <w:fldChar w:fldCharType="separate"/>
                            </w:r>
                            <w:r>
                              <w:rPr/>
                              <w:t>5</w:t>
                            </w:r>
                            <w:r>
                              <w:rPr/>
                              <w:fldChar w:fldCharType="end"/>
                            </w:r>
                            <w:bookmarkEnd w:id="10"/>
                            <w:r>
                              <w:rPr/>
                              <w:t>. Spot natural gas price differentials</w:t>
                            </w:r>
                            <w:r>
                              <w:rPr>
                                <w:lang w:val="en-CA" w:eastAsia="en-CA"/>
                              </w:rPr>
                              <w:t xml:space="preserve"> between Northwest and Henry Hub</w:t>
                            </w:r>
                          </w:p>
                          <w:p>
                            <w:pPr>
                              <w:pStyle w:val="Normal"/>
                              <w:tabs>
                                <w:tab w:val="left" w:pos="720" w:leader="none"/>
                              </w:tabs>
                              <w:spacing w:lineRule="auto" w:line="480" w:before="0" w:after="0"/>
                              <w:ind w:hanging="720" w:start="720" w:end="0"/>
                              <w:jc w:val="center"/>
                              <w:rPr/>
                            </w:pPr>
                            <w:r>
                              <w:rPr/>
                              <w:drawing>
                                <wp:inline distT="0" distB="0" distL="0" distR="0">
                                  <wp:extent cx="4510405" cy="3084195"/>
                                  <wp:effectExtent l="0" t="0" r="0" b="0"/>
                                  <wp:docPr id="1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 title=""/>
                                          <pic:cNvPicPr>
                                            <a:picLocks noChangeAspect="1" noChangeArrowheads="1"/>
                                          </pic:cNvPicPr>
                                        </pic:nvPicPr>
                                        <pic:blipFill>
                                          <a:blip r:embed="rId10"/>
                                          <a:srcRect l="-4" t="-6" r="-4" b="-6"/>
                                          <a:stretch>
                                            <a:fillRect/>
                                          </a:stretch>
                                        </pic:blipFill>
                                        <pic:spPr bwMode="auto">
                                          <a:xfrm>
                                            <a:off x="0" y="0"/>
                                            <a:ext cx="4510405" cy="3084195"/>
                                          </a:xfrm>
                                          <a:prstGeom prst="rect">
                                            <a:avLst/>
                                          </a:prstGeom>
                                          <a:noFill/>
                                        </pic:spPr>
                                      </pic:pic>
                                    </a:graphicData>
                                  </a:graphic>
                                </wp:inline>
                              </w:drawing>
                            </w:r>
                          </w:p>
                          <w:p>
                            <w:pPr>
                              <w:pStyle w:val="Normal"/>
                              <w:tabs>
                                <w:tab w:val="left" w:pos="720" w:leader="none"/>
                              </w:tabs>
                              <w:spacing w:lineRule="auto" w:line="480" w:before="0" w:after="0"/>
                              <w:ind w:hanging="720" w:start="720" w:end="0"/>
                              <w:jc w:val="start"/>
                              <w:rPr>
                                <w:i/>
                                <w:i/>
                                <w:iCs/>
                                <w:sz w:val="16"/>
                              </w:rPr>
                            </w:pPr>
                            <w:r>
                              <w:rPr>
                                <w:i/>
                                <w:iCs/>
                                <w:sz w:val="16"/>
                              </w:rPr>
                              <w:t>Source: FT Energy, Gas Daily</w:t>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99.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tabs>
                          <w:tab w:val="left" w:pos="720" w:leader="none"/>
                          <w:tab w:val="center" w:pos="4320" w:leader="none"/>
                          <w:tab w:val="right" w:pos="8640" w:leader="none"/>
                        </w:tabs>
                        <w:spacing w:lineRule="auto" w:line="480" w:before="120" w:after="0"/>
                        <w:ind w:hanging="720" w:start="720" w:end="0"/>
                        <w:rPr/>
                      </w:pPr>
                      <w:bookmarkStart w:id="11" w:name="_Ref523211076"/>
                      <w:r>
                        <w:rPr/>
                        <w:t xml:space="preserve">Exhibit </w:t>
                      </w:r>
                      <w:r>
                        <w:rPr/>
                        <w:fldChar w:fldCharType="begin"/>
                      </w:r>
                      <w:r>
                        <w:rPr/>
                        <w:instrText xml:space="preserve"> SEQ Exhibit \* ARABIC </w:instrText>
                      </w:r>
                      <w:r>
                        <w:rPr/>
                        <w:fldChar w:fldCharType="separate"/>
                      </w:r>
                      <w:r>
                        <w:rPr/>
                        <w:t>5</w:t>
                      </w:r>
                      <w:r>
                        <w:rPr/>
                        <w:fldChar w:fldCharType="end"/>
                      </w:r>
                      <w:bookmarkEnd w:id="11"/>
                      <w:r>
                        <w:rPr/>
                        <w:t>. Spot natural gas price differentials</w:t>
                      </w:r>
                      <w:r>
                        <w:rPr>
                          <w:lang w:val="en-CA" w:eastAsia="en-CA"/>
                        </w:rPr>
                        <w:t xml:space="preserve"> between Northwest and Henry Hub</w:t>
                      </w:r>
                    </w:p>
                    <w:p>
                      <w:pPr>
                        <w:pStyle w:val="Normal"/>
                        <w:tabs>
                          <w:tab w:val="left" w:pos="720" w:leader="none"/>
                        </w:tabs>
                        <w:spacing w:lineRule="auto" w:line="480" w:before="0" w:after="0"/>
                        <w:ind w:hanging="720" w:start="720" w:end="0"/>
                        <w:jc w:val="center"/>
                        <w:rPr/>
                      </w:pPr>
                      <w:r>
                        <w:rPr/>
                        <w:drawing>
                          <wp:inline distT="0" distB="0" distL="0" distR="0">
                            <wp:extent cx="4510405" cy="3084195"/>
                            <wp:effectExtent l="0" t="0" r="0" b="0"/>
                            <wp:docPr id="13"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title=""/>
                                    <pic:cNvPicPr>
                                      <a:picLocks noChangeAspect="1" noChangeArrowheads="1"/>
                                    </pic:cNvPicPr>
                                  </pic:nvPicPr>
                                  <pic:blipFill>
                                    <a:blip r:embed="rId11"/>
                                    <a:srcRect l="-4" t="-6" r="-4" b="-6"/>
                                    <a:stretch>
                                      <a:fillRect/>
                                    </a:stretch>
                                  </pic:blipFill>
                                  <pic:spPr bwMode="auto">
                                    <a:xfrm>
                                      <a:off x="0" y="0"/>
                                      <a:ext cx="4510405" cy="3084195"/>
                                    </a:xfrm>
                                    <a:prstGeom prst="rect">
                                      <a:avLst/>
                                    </a:prstGeom>
                                    <a:noFill/>
                                  </pic:spPr>
                                </pic:pic>
                              </a:graphicData>
                            </a:graphic>
                          </wp:inline>
                        </w:drawing>
                      </w:r>
                    </w:p>
                    <w:p>
                      <w:pPr>
                        <w:pStyle w:val="Normal"/>
                        <w:tabs>
                          <w:tab w:val="left" w:pos="720" w:leader="none"/>
                        </w:tabs>
                        <w:spacing w:lineRule="auto" w:line="480" w:before="0" w:after="0"/>
                        <w:ind w:hanging="720" w:start="720" w:end="0"/>
                        <w:jc w:val="start"/>
                        <w:rPr>
                          <w:i/>
                          <w:i/>
                          <w:iCs/>
                          <w:sz w:val="16"/>
                        </w:rPr>
                      </w:pPr>
                      <w:r>
                        <w:rPr>
                          <w:i/>
                          <w:iCs/>
                          <w:sz w:val="16"/>
                        </w:rPr>
                        <w:t>Source: FT Energy, Gas Daily</w:t>
                      </w:r>
                    </w:p>
                  </w:txbxContent>
                </v:textbox>
                <w10:wrap type="square"/>
              </v:rect>
            </w:pict>
          </mc:Fallback>
        </mc:AlternateContent>
      </w:r>
    </w:p>
    <w:p>
      <w:pPr>
        <w:pStyle w:val="Normal"/>
        <w:tabs>
          <w:tab w:val="left" w:pos="720" w:leader="none"/>
        </w:tabs>
        <w:spacing w:lineRule="auto" w:line="480" w:before="0" w:after="0"/>
        <w:ind w:hanging="720" w:start="720" w:end="0"/>
        <w:rPr/>
      </w:pPr>
      <w:r>
        <w:rPr/>
        <w:tab/>
        <w:t>Beginning in November, 2000, it became significantly more difficult – and therefore expensive – to hedge the cost of natural gas. This would have made it more costly to offer forward contracts in products that are closely tied to the price of natural gas, such as electricity.</w:t>
      </w:r>
    </w:p>
    <w:p>
      <w:pPr>
        <w:pStyle w:val="NormalHanging"/>
        <w:spacing w:lineRule="auto" w:line="480" w:before="0" w:after="0"/>
        <w:rPr/>
      </w:pPr>
      <w:r>
        <w:rPr/>
        <w:t xml:space="preserve">Q. </w:t>
        <w:tab/>
        <w:t>Was the divergence from historic basis differentials the only change affecting the natural gas market?</w:t>
      </w:r>
    </w:p>
    <w:p>
      <w:pPr>
        <w:pStyle w:val="Normal"/>
        <w:tabs>
          <w:tab w:val="left" w:pos="720" w:leader="none"/>
        </w:tabs>
        <w:spacing w:lineRule="auto" w:line="480" w:before="0" w:after="0"/>
        <w:ind w:hanging="720" w:start="720" w:end="0"/>
        <w:rPr/>
      </w:pPr>
      <w:r>
        <w:rPr/>
        <w:t>A.</w:t>
        <w:tab/>
        <w:t>No. Even at Henry Hub, the price of natural gas was on the rise. The New York Mercantile Exchange (NYMEX) actively trades futures contracts for natural gas delivered at Henry Hub. These contracts are for month-long delivery, and are traded up to several years in advance.</w:t>
      </w:r>
    </w:p>
    <w:p>
      <w:pPr>
        <w:pStyle w:val="Normal"/>
        <w:tabs>
          <w:tab w:val="left" w:pos="720" w:leader="none"/>
        </w:tabs>
        <w:spacing w:lineRule="auto" w:line="480" w:before="0" w:after="0"/>
        <w:ind w:hanging="720" w:start="720" w:end="0"/>
        <w:rPr/>
      </w:pPr>
      <w:r>
        <w:rPr/>
        <w:tab/>
        <w:t>During 2000, gas futures prices had been rising steadily. Futures contracts for delivery in January 2001, for example, traded at approximately $2.76/mmBtu in January 2000, but by late June were trading at $4.50/mmBtu – an increase of over 60%. This same contract traded at an average of $8.55/mmBtu in December, reaching a single-day maximum price of $9.98/mmBtu on its final day of trading.</w:t>
      </w:r>
    </w:p>
    <w:p>
      <w:pPr>
        <w:pStyle w:val="Normal"/>
        <w:tabs>
          <w:tab w:val="left" w:pos="720" w:leader="none"/>
        </w:tabs>
        <w:spacing w:lineRule="auto" w:line="480" w:before="0" w:after="0"/>
        <w:ind w:hanging="720" w:start="720" w:end="0"/>
        <w:rPr/>
      </w:pPr>
      <w:r>
        <w:rPr/>
        <w:tab/>
        <w:t xml:space="preserve">This pattern was seen for a variety of contracts, a selection of which is shown in </w:t>
      </w:r>
      <w:r>
        <w:rPr/>
        <w:fldChar w:fldCharType="begin"/>
      </w:r>
      <w:r>
        <w:rPr/>
        <w:instrText xml:space="preserve"> REF _Ref523212556 \h </w:instrText>
      </w:r>
      <w:r>
        <w:rPr/>
        <w:fldChar w:fldCharType="separate"/>
      </w:r>
      <w:r>
        <w:rPr/>
        <w:t>Exhibit 6</w:t>
      </w:r>
      <w:r>
        <w:rPr/>
        <w:fldChar w:fldCharType="end"/>
      </w:r>
      <w:r>
        <w:rPr/>
        <w:t>.</w:t>
      </w:r>
    </w:p>
    <w:p>
      <w:pPr>
        <w:pStyle w:val="Normal"/>
        <w:tabs>
          <w:tab w:val="left" w:pos="720" w:leader="none"/>
        </w:tabs>
        <w:spacing w:lineRule="auto" w:line="480" w:before="0" w:after="0"/>
        <w:ind w:hanging="720" w:start="720" w:end="0"/>
        <w:rPr/>
      </w:pPr>
      <w:r>
        <w:rPr/>
      </w:r>
      <w:r>
        <mc:AlternateContent>
          <mc:Choice Requires="wps">
            <w:drawing>
              <wp:anchor behindDoc="0" distT="0" distB="0" distL="0" distR="114300" simplePos="0" locked="0" layoutInCell="0" allowOverlap="1" relativeHeight="10">
                <wp:simplePos x="0" y="0"/>
                <wp:positionH relativeFrom="column">
                  <wp:posOffset>-22225</wp:posOffset>
                </wp:positionH>
                <wp:positionV relativeFrom="paragraph">
                  <wp:posOffset>635</wp:posOffset>
                </wp:positionV>
                <wp:extent cx="5988050" cy="3803650"/>
                <wp:effectExtent l="0" t="0" r="0" b="0"/>
                <wp:wrapSquare wrapText="bothSides"/>
                <wp:docPr id="14" name="Frame4"/>
                <a:graphic xmlns:a="http://schemas.openxmlformats.org/drawingml/2006/main">
                  <a:graphicData uri="http://schemas.microsoft.com/office/word/2010/wordprocessingShape">
                    <wps:wsp>
                      <wps:cNvSpPr txBox="1"/>
                      <wps:spPr>
                        <a:xfrm>
                          <a:off x="0" y="0"/>
                          <a:ext cx="5988050" cy="3803650"/>
                        </a:xfrm>
                        <a:prstGeom prst="rect"/>
                        <a:solidFill>
                          <a:srgbClr val="FFFFFF">
                            <a:alpha val="0"/>
                          </a:srgbClr>
                        </a:solidFill>
                        <a:ln w="9525">
                          <a:solidFill>
                            <a:srgbClr val="000000"/>
                          </a:solidFill>
                        </a:ln>
                      </wps:spPr>
                      <wps:txbx>
                        <w:txbxContent>
                          <w:p>
                            <w:pPr>
                              <w:pStyle w:val="Caption"/>
                              <w:keepNext w:val="true"/>
                              <w:tabs>
                                <w:tab w:val="left" w:pos="720" w:leader="none"/>
                                <w:tab w:val="center" w:pos="4320" w:leader="none"/>
                                <w:tab w:val="right" w:pos="8640" w:leader="none"/>
                              </w:tabs>
                              <w:spacing w:lineRule="auto" w:line="480" w:before="120" w:after="0"/>
                              <w:ind w:hanging="720" w:start="720" w:end="0"/>
                              <w:rPr/>
                            </w:pPr>
                            <w:bookmarkStart w:id="12" w:name="_Ref523212556"/>
                            <w:r>
                              <w:rPr/>
                              <w:t xml:space="preserve">Exhibit </w:t>
                            </w:r>
                            <w:r>
                              <w:rPr/>
                              <w:fldChar w:fldCharType="begin"/>
                            </w:r>
                            <w:r>
                              <w:rPr/>
                              <w:instrText xml:space="preserve"> SEQ Exhibit \* ARABIC </w:instrText>
                            </w:r>
                            <w:r>
                              <w:rPr/>
                              <w:fldChar w:fldCharType="separate"/>
                            </w:r>
                            <w:r>
                              <w:rPr/>
                              <w:t>6</w:t>
                            </w:r>
                            <w:r>
                              <w:rPr/>
                              <w:fldChar w:fldCharType="end"/>
                            </w:r>
                            <w:bookmarkEnd w:id="12"/>
                            <w:r>
                              <w:rPr/>
                              <w:t>. Selected natural gas futures prices at Henry Hub</w:t>
                            </w:r>
                          </w:p>
                          <w:p>
                            <w:pPr>
                              <w:pStyle w:val="Normal"/>
                              <w:tabs>
                                <w:tab w:val="left" w:pos="720" w:leader="none"/>
                              </w:tabs>
                              <w:spacing w:lineRule="auto" w:line="480" w:before="0" w:after="0"/>
                              <w:ind w:hanging="720" w:start="720" w:end="0"/>
                              <w:jc w:val="center"/>
                              <w:rPr/>
                            </w:pPr>
                            <w:r>
                              <w:rPr/>
                              <w:drawing>
                                <wp:inline distT="0" distB="0" distL="0" distR="0">
                                  <wp:extent cx="4510405" cy="3084195"/>
                                  <wp:effectExtent l="0" t="0" r="0" b="0"/>
                                  <wp:docPr id="1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descr="" title=""/>
                                          <pic:cNvPicPr>
                                            <a:picLocks noChangeAspect="1" noChangeArrowheads="1"/>
                                          </pic:cNvPicPr>
                                        </pic:nvPicPr>
                                        <pic:blipFill>
                                          <a:blip r:embed="rId12"/>
                                          <a:srcRect l="-4" t="-6" r="-4" b="-6"/>
                                          <a:stretch>
                                            <a:fillRect/>
                                          </a:stretch>
                                        </pic:blipFill>
                                        <pic:spPr bwMode="auto">
                                          <a:xfrm>
                                            <a:off x="0" y="0"/>
                                            <a:ext cx="4510405" cy="3084195"/>
                                          </a:xfrm>
                                          <a:prstGeom prst="rect">
                                            <a:avLst/>
                                          </a:prstGeom>
                                          <a:noFill/>
                                        </pic:spPr>
                                      </pic:pic>
                                    </a:graphicData>
                                  </a:graphic>
                                </wp:inline>
                              </w:drawing>
                            </w:r>
                          </w:p>
                          <w:p>
                            <w:pPr>
                              <w:pStyle w:val="Normal"/>
                              <w:tabs>
                                <w:tab w:val="left" w:pos="720" w:leader="none"/>
                              </w:tabs>
                              <w:spacing w:lineRule="auto" w:line="480" w:before="0" w:after="0"/>
                              <w:ind w:hanging="720" w:start="720" w:end="0"/>
                              <w:jc w:val="start"/>
                              <w:rPr>
                                <w:i/>
                                <w:i/>
                                <w:iCs/>
                                <w:sz w:val="16"/>
                              </w:rPr>
                            </w:pPr>
                            <w:r>
                              <w:rPr>
                                <w:i/>
                                <w:iCs/>
                                <w:sz w:val="16"/>
                              </w:rPr>
                              <w:t>Source: FT Energy, Gas Daily</w:t>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99.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tabs>
                          <w:tab w:val="left" w:pos="720" w:leader="none"/>
                          <w:tab w:val="center" w:pos="4320" w:leader="none"/>
                          <w:tab w:val="right" w:pos="8640" w:leader="none"/>
                        </w:tabs>
                        <w:spacing w:lineRule="auto" w:line="480" w:before="120" w:after="0"/>
                        <w:ind w:hanging="720" w:start="720" w:end="0"/>
                        <w:rPr/>
                      </w:pPr>
                      <w:bookmarkStart w:id="13" w:name="_Ref523212556"/>
                      <w:r>
                        <w:rPr/>
                        <w:t xml:space="preserve">Exhibit </w:t>
                      </w:r>
                      <w:r>
                        <w:rPr/>
                        <w:fldChar w:fldCharType="begin"/>
                      </w:r>
                      <w:r>
                        <w:rPr/>
                        <w:instrText xml:space="preserve"> SEQ Exhibit \* ARABIC </w:instrText>
                      </w:r>
                      <w:r>
                        <w:rPr/>
                        <w:fldChar w:fldCharType="separate"/>
                      </w:r>
                      <w:r>
                        <w:rPr/>
                        <w:t>6</w:t>
                      </w:r>
                      <w:r>
                        <w:rPr/>
                        <w:fldChar w:fldCharType="end"/>
                      </w:r>
                      <w:bookmarkEnd w:id="13"/>
                      <w:r>
                        <w:rPr/>
                        <w:t>. Selected natural gas futures prices at Henry Hub</w:t>
                      </w:r>
                    </w:p>
                    <w:p>
                      <w:pPr>
                        <w:pStyle w:val="Normal"/>
                        <w:tabs>
                          <w:tab w:val="left" w:pos="720" w:leader="none"/>
                        </w:tabs>
                        <w:spacing w:lineRule="auto" w:line="480" w:before="0" w:after="0"/>
                        <w:ind w:hanging="720" w:start="720" w:end="0"/>
                        <w:jc w:val="center"/>
                        <w:rPr/>
                      </w:pPr>
                      <w:r>
                        <w:rPr/>
                        <w:drawing>
                          <wp:inline distT="0" distB="0" distL="0" distR="0">
                            <wp:extent cx="4510405" cy="3084195"/>
                            <wp:effectExtent l="0" t="0" r="0" b="0"/>
                            <wp:docPr id="1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 descr="" title=""/>
                                    <pic:cNvPicPr>
                                      <a:picLocks noChangeAspect="1" noChangeArrowheads="1"/>
                                    </pic:cNvPicPr>
                                  </pic:nvPicPr>
                                  <pic:blipFill>
                                    <a:blip r:embed="rId13"/>
                                    <a:srcRect l="-4" t="-6" r="-4" b="-6"/>
                                    <a:stretch>
                                      <a:fillRect/>
                                    </a:stretch>
                                  </pic:blipFill>
                                  <pic:spPr bwMode="auto">
                                    <a:xfrm>
                                      <a:off x="0" y="0"/>
                                      <a:ext cx="4510405" cy="3084195"/>
                                    </a:xfrm>
                                    <a:prstGeom prst="rect">
                                      <a:avLst/>
                                    </a:prstGeom>
                                    <a:noFill/>
                                  </pic:spPr>
                                </pic:pic>
                              </a:graphicData>
                            </a:graphic>
                          </wp:inline>
                        </w:drawing>
                      </w:r>
                    </w:p>
                    <w:p>
                      <w:pPr>
                        <w:pStyle w:val="Normal"/>
                        <w:tabs>
                          <w:tab w:val="left" w:pos="720" w:leader="none"/>
                        </w:tabs>
                        <w:spacing w:lineRule="auto" w:line="480" w:before="0" w:after="0"/>
                        <w:ind w:hanging="720" w:start="720" w:end="0"/>
                        <w:jc w:val="start"/>
                        <w:rPr>
                          <w:i/>
                          <w:i/>
                          <w:iCs/>
                          <w:sz w:val="16"/>
                        </w:rPr>
                      </w:pPr>
                      <w:r>
                        <w:rPr>
                          <w:i/>
                          <w:iCs/>
                          <w:sz w:val="16"/>
                        </w:rPr>
                        <w:t>Source: FT Energy, Gas Daily</w:t>
                      </w:r>
                    </w:p>
                  </w:txbxContent>
                </v:textbox>
                <w10:wrap type="square"/>
              </v:rect>
            </w:pict>
          </mc:Fallback>
        </mc:AlternateContent>
      </w:r>
    </w:p>
    <w:p>
      <w:pPr>
        <w:pStyle w:val="Normal"/>
        <w:tabs>
          <w:tab w:val="left" w:pos="720" w:leader="none"/>
        </w:tabs>
        <w:spacing w:lineRule="auto" w:line="480" w:before="0" w:after="0"/>
        <w:ind w:hanging="720" w:start="720" w:end="0"/>
        <w:rPr/>
      </w:pPr>
      <w:r>
        <w:rPr/>
        <w:tab/>
        <w:t xml:space="preserve">From the preceding, we can reasonably infer that hedging the cost of natural gas in the Northwest was an increasingly costly undertaking by late 2000. Futures gas prices for the next few months were $6-8/mmBtu, while large and volatile basis premiums prevailed. As an example, consider that natural gas for January 2001 delivery at Henry Hub was trading at $8.56/mmBtu during December. In that same month, the average premium for spot deliveries at Malin over Henry Hub was $11.30/mmBtu. Using this basis differential as a proxy for the basis on forward contracts, it would imply a price during December 2000 for January 2001 delivery at Malin of $19.86/mmBtu. Similar calculations for other contracts and trading months are shown in </w:t>
      </w:r>
      <w:r>
        <w:rPr/>
        <w:fldChar w:fldCharType="begin"/>
      </w:r>
      <w:r>
        <w:rPr/>
        <w:instrText xml:space="preserve"> REF _Ref523214244 \h </w:instrText>
      </w:r>
      <w:r>
        <w:rPr/>
        <w:fldChar w:fldCharType="separate"/>
      </w:r>
      <w:r>
        <w:rPr/>
        <w:t>Exhibit 7</w:t>
      </w:r>
      <w:r>
        <w:rPr/>
        <w:fldChar w:fldCharType="end"/>
      </w:r>
      <w:r>
        <w:rPr/>
        <w:t>.</w:t>
      </w:r>
    </w:p>
    <w:p>
      <w:pPr>
        <w:pStyle w:val="Normal"/>
        <w:tabs>
          <w:tab w:val="left" w:pos="720" w:leader="none"/>
        </w:tabs>
        <w:spacing w:lineRule="auto" w:line="480" w:before="0" w:after="0"/>
        <w:ind w:hanging="720" w:start="720" w:end="0"/>
        <w:rPr/>
      </w:pPr>
      <w:r>
        <w:rPr/>
      </w:r>
      <w:r>
        <mc:AlternateContent>
          <mc:Choice Requires="wps">
            <w:drawing>
              <wp:anchor behindDoc="0" distT="0" distB="0" distL="0" distR="114300" simplePos="0" locked="0" layoutInCell="0" allowOverlap="1" relativeHeight="12">
                <wp:simplePos x="0" y="0"/>
                <wp:positionH relativeFrom="column">
                  <wp:posOffset>-22225</wp:posOffset>
                </wp:positionH>
                <wp:positionV relativeFrom="paragraph">
                  <wp:posOffset>635</wp:posOffset>
                </wp:positionV>
                <wp:extent cx="5988050" cy="2534285"/>
                <wp:effectExtent l="0" t="0" r="0" b="0"/>
                <wp:wrapSquare wrapText="bothSides"/>
                <wp:docPr id="17" name="Frame5"/>
                <a:graphic xmlns:a="http://schemas.openxmlformats.org/drawingml/2006/main">
                  <a:graphicData uri="http://schemas.microsoft.com/office/word/2010/wordprocessingShape">
                    <wps:wsp>
                      <wps:cNvSpPr txBox="1"/>
                      <wps:spPr>
                        <a:xfrm>
                          <a:off x="0" y="0"/>
                          <a:ext cx="5988050" cy="2534285"/>
                        </a:xfrm>
                        <a:prstGeom prst="rect"/>
                        <a:solidFill>
                          <a:srgbClr val="FFFFFF">
                            <a:alpha val="0"/>
                          </a:srgbClr>
                        </a:solidFill>
                        <a:ln w="9525">
                          <a:solidFill>
                            <a:srgbClr val="000000"/>
                          </a:solidFill>
                        </a:ln>
                      </wps:spPr>
                      <wps:txbx>
                        <w:txbxContent>
                          <w:p>
                            <w:pPr>
                              <w:pStyle w:val="Caption"/>
                              <w:keepNext w:val="true"/>
                              <w:tabs>
                                <w:tab w:val="left" w:pos="720" w:leader="none"/>
                                <w:tab w:val="center" w:pos="4320" w:leader="none"/>
                                <w:tab w:val="right" w:pos="8640" w:leader="none"/>
                              </w:tabs>
                              <w:spacing w:lineRule="auto" w:line="480" w:before="120" w:after="0"/>
                              <w:ind w:hanging="720" w:start="720" w:end="0"/>
                              <w:rPr/>
                            </w:pPr>
                            <w:bookmarkStart w:id="14" w:name="_Ref523214244"/>
                            <w:r>
                              <w:rPr/>
                              <w:t xml:space="preserve">Exhibit </w:t>
                            </w:r>
                            <w:r>
                              <w:rPr/>
                              <w:fldChar w:fldCharType="begin"/>
                            </w:r>
                            <w:r>
                              <w:rPr/>
                              <w:instrText xml:space="preserve"> SEQ Exhibit \* ARABIC </w:instrText>
                            </w:r>
                            <w:r>
                              <w:rPr/>
                              <w:fldChar w:fldCharType="separate"/>
                            </w:r>
                            <w:r>
                              <w:rPr/>
                              <w:t>7</w:t>
                            </w:r>
                            <w:r>
                              <w:rPr/>
                              <w:fldChar w:fldCharType="end"/>
                            </w:r>
                            <w:bookmarkEnd w:id="14"/>
                            <w:r>
                              <w:rPr/>
                              <w:t>. Sample estimated forward gas prices at Malin, $/mmBtu</w:t>
                            </w:r>
                          </w:p>
                          <w:p>
                            <w:pPr>
                              <w:pStyle w:val="Normal"/>
                              <w:tabs>
                                <w:tab w:val="left" w:pos="720" w:leader="none"/>
                              </w:tabs>
                              <w:spacing w:lineRule="auto" w:line="480" w:before="0" w:after="0"/>
                              <w:ind w:hanging="720" w:start="720" w:end="0"/>
                              <w:jc w:val="center"/>
                              <w:rPr/>
                            </w:pPr>
                            <w:r>
                              <w:rPr/>
                              <w:drawing>
                                <wp:inline distT="0" distB="0" distL="0" distR="0">
                                  <wp:extent cx="5145405" cy="1447165"/>
                                  <wp:effectExtent l="0" t="0" r="0" b="0"/>
                                  <wp:docPr id="1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 descr="" title=""/>
                                          <pic:cNvPicPr>
                                            <a:picLocks noChangeAspect="1" noChangeArrowheads="1"/>
                                          </pic:cNvPicPr>
                                        </pic:nvPicPr>
                                        <pic:blipFill>
                                          <a:blip r:embed="rId14"/>
                                          <a:srcRect l="-7" t="-25" r="-7" b="-25"/>
                                          <a:stretch>
                                            <a:fillRect/>
                                          </a:stretch>
                                        </pic:blipFill>
                                        <pic:spPr bwMode="auto">
                                          <a:xfrm>
                                            <a:off x="0" y="0"/>
                                            <a:ext cx="5145405" cy="1447165"/>
                                          </a:xfrm>
                                          <a:prstGeom prst="rect">
                                            <a:avLst/>
                                          </a:prstGeom>
                                          <a:noFill/>
                                        </pic:spPr>
                                      </pic:pic>
                                    </a:graphicData>
                                  </a:graphic>
                                </wp:inline>
                              </w:drawing>
                            </w:r>
                          </w:p>
                          <w:p>
                            <w:pPr>
                              <w:pStyle w:val="BodyText2"/>
                              <w:tabs>
                                <w:tab w:val="left" w:pos="720" w:leader="none"/>
                              </w:tabs>
                              <w:spacing w:before="0" w:after="0"/>
                              <w:ind w:hanging="720" w:start="720" w:end="0"/>
                              <w:rPr>
                                <w:sz w:val="20"/>
                              </w:rPr>
                            </w:pPr>
                            <w:r>
                              <w:rPr>
                                <w:sz w:val="20"/>
                              </w:rPr>
                              <w:t xml:space="preserve">Note:: </w:t>
                              <w:tab/>
                              <w:t>These calculations are based on Henry Hub futures contract price plus average spot market basis differential between Henry Hub and Malin. Calculation does not include any risk premium, which I would expect to be demanded by sellers given market conditions.</w:t>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99.5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tabs>
                          <w:tab w:val="left" w:pos="720" w:leader="none"/>
                          <w:tab w:val="center" w:pos="4320" w:leader="none"/>
                          <w:tab w:val="right" w:pos="8640" w:leader="none"/>
                        </w:tabs>
                        <w:spacing w:lineRule="auto" w:line="480" w:before="120" w:after="0"/>
                        <w:ind w:hanging="720" w:start="720" w:end="0"/>
                        <w:rPr/>
                      </w:pPr>
                      <w:bookmarkStart w:id="15" w:name="_Ref523214244"/>
                      <w:r>
                        <w:rPr/>
                        <w:t xml:space="preserve">Exhibit </w:t>
                      </w:r>
                      <w:r>
                        <w:rPr/>
                        <w:fldChar w:fldCharType="begin"/>
                      </w:r>
                      <w:r>
                        <w:rPr/>
                        <w:instrText xml:space="preserve"> SEQ Exhibit \* ARABIC </w:instrText>
                      </w:r>
                      <w:r>
                        <w:rPr/>
                        <w:fldChar w:fldCharType="separate"/>
                      </w:r>
                      <w:r>
                        <w:rPr/>
                        <w:t>7</w:t>
                      </w:r>
                      <w:r>
                        <w:rPr/>
                        <w:fldChar w:fldCharType="end"/>
                      </w:r>
                      <w:bookmarkEnd w:id="15"/>
                      <w:r>
                        <w:rPr/>
                        <w:t>. Sample estimated forward gas prices at Malin, $/mmBtu</w:t>
                      </w:r>
                    </w:p>
                    <w:p>
                      <w:pPr>
                        <w:pStyle w:val="Normal"/>
                        <w:tabs>
                          <w:tab w:val="left" w:pos="720" w:leader="none"/>
                        </w:tabs>
                        <w:spacing w:lineRule="auto" w:line="480" w:before="0" w:after="0"/>
                        <w:ind w:hanging="720" w:start="720" w:end="0"/>
                        <w:jc w:val="center"/>
                        <w:rPr/>
                      </w:pPr>
                      <w:r>
                        <w:rPr/>
                        <w:drawing>
                          <wp:inline distT="0" distB="0" distL="0" distR="0">
                            <wp:extent cx="5145405" cy="1447165"/>
                            <wp:effectExtent l="0" t="0" r="0" b="0"/>
                            <wp:docPr id="1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 descr="" title=""/>
                                    <pic:cNvPicPr>
                                      <a:picLocks noChangeAspect="1" noChangeArrowheads="1"/>
                                    </pic:cNvPicPr>
                                  </pic:nvPicPr>
                                  <pic:blipFill>
                                    <a:blip r:embed="rId15"/>
                                    <a:srcRect l="-7" t="-25" r="-7" b="-25"/>
                                    <a:stretch>
                                      <a:fillRect/>
                                    </a:stretch>
                                  </pic:blipFill>
                                  <pic:spPr bwMode="auto">
                                    <a:xfrm>
                                      <a:off x="0" y="0"/>
                                      <a:ext cx="5145405" cy="1447165"/>
                                    </a:xfrm>
                                    <a:prstGeom prst="rect">
                                      <a:avLst/>
                                    </a:prstGeom>
                                    <a:noFill/>
                                  </pic:spPr>
                                </pic:pic>
                              </a:graphicData>
                            </a:graphic>
                          </wp:inline>
                        </w:drawing>
                      </w:r>
                    </w:p>
                    <w:p>
                      <w:pPr>
                        <w:pStyle w:val="BodyText2"/>
                        <w:tabs>
                          <w:tab w:val="left" w:pos="720" w:leader="none"/>
                        </w:tabs>
                        <w:spacing w:before="0" w:after="0"/>
                        <w:ind w:hanging="720" w:start="720" w:end="0"/>
                        <w:rPr>
                          <w:sz w:val="20"/>
                        </w:rPr>
                      </w:pPr>
                      <w:r>
                        <w:rPr>
                          <w:sz w:val="20"/>
                        </w:rPr>
                        <w:t xml:space="preserve">Note:: </w:t>
                        <w:tab/>
                        <w:t>These calculations are based on Henry Hub futures contract price plus average spot market basis differential between Henry Hub and Malin. Calculation does not include any risk premium, which I would expect to be demanded by sellers given market conditions.</w:t>
                      </w:r>
                    </w:p>
                  </w:txbxContent>
                </v:textbox>
                <w10:wrap type="square"/>
              </v:rect>
            </w:pict>
          </mc:Fallback>
        </mc:AlternateContent>
      </w:r>
    </w:p>
    <w:p>
      <w:pPr>
        <w:pStyle w:val="NormalHanging"/>
        <w:spacing w:lineRule="auto" w:line="480" w:before="0" w:after="0"/>
        <w:rPr/>
      </w:pPr>
      <w:r>
        <w:rPr/>
        <w:t xml:space="preserve">Q. </w:t>
        <w:tab/>
        <w:t>Were these developments in the natural gas markets reflected in the forward prices of electricity in the Northwest?</w:t>
      </w:r>
    </w:p>
    <w:p>
      <w:pPr>
        <w:pStyle w:val="Normal"/>
        <w:tabs>
          <w:tab w:val="left" w:pos="720" w:leader="none"/>
        </w:tabs>
        <w:spacing w:lineRule="auto" w:line="480" w:before="0" w:after="0"/>
        <w:ind w:hanging="720" w:start="720" w:end="0"/>
        <w:rPr/>
      </w:pPr>
      <w:r>
        <w:rPr/>
        <w:t>A.</w:t>
        <w:tab/>
        <w:t>Yes. Revisiting the previous discussion regarding Mr. McCullough’s assertions that bids for 3Q power were driven by spot electricity prices, I showed a closer relationship existed with forward gas prices, also for 3Q delivery. This supports the conclusion that forward electricity contract prices were determined more by a fundamental market driver - forward natural gas prices - than by any alleged distortions of spot electricity prices.</w:t>
      </w:r>
    </w:p>
    <w:p>
      <w:pPr>
        <w:pStyle w:val="4SubPara"/>
        <w:spacing w:before="0" w:after="240"/>
        <w:rPr>
          <w:bCs/>
        </w:rPr>
      </w:pPr>
      <w:r>
        <w:rPr>
          <w:bCs/>
        </w:rPr>
        <w:t>Analysis of hydroelectric availability as a driver of PNW electricity prices</w:t>
      </w:r>
    </w:p>
    <w:p>
      <w:pPr>
        <w:pStyle w:val="Normal"/>
        <w:spacing w:lineRule="auto" w:line="480" w:before="0" w:after="0"/>
        <w:ind w:hanging="720" w:start="720" w:end="0"/>
        <w:rPr/>
      </w:pPr>
      <w:r>
        <w:rPr/>
        <w:t xml:space="preserve">Q. </w:t>
        <w:tab/>
        <w:t>Aside from the changes in the natural gas market, what other factors were driving pricing decisions during this time?</w:t>
      </w:r>
    </w:p>
    <w:p>
      <w:pPr>
        <w:pStyle w:val="Normal"/>
        <w:spacing w:lineRule="auto" w:line="480" w:before="0" w:after="0"/>
        <w:ind w:hanging="720" w:start="720" w:end="0"/>
        <w:rPr/>
      </w:pPr>
      <w:r>
        <w:rPr/>
        <w:t>A.</w:t>
        <w:tab/>
        <w:t>In addition to dramatic changes in market conditions for natural gas in the Northwest, a second major factor that must be considered is the impact of hydrological conditions. Simply put, the winter of 2000/01 was exceedingly dry; by some measures, it was the driest winter on record. Winter precipitation is critical in the Northwest as it establishes the snowpack that will determine springtime runoff levels. Reservoir management decisions are driven largely by the expected ability to replenish depleted supplies in the coming spring. Low snowfall amounts therefore trigger conservation measures, reducing the amount of electricity that can be produced from hydroelectric plants.</w:t>
      </w:r>
    </w:p>
    <w:p>
      <w:pPr>
        <w:pStyle w:val="BodyTextIndent"/>
        <w:rPr/>
      </w:pPr>
      <w:r>
        <w:rPr/>
        <w:t>Just as the natural gas market was making it more costly to offer forward electricity contracts, the weather was reducing the ability of hydroelectric operators to enter into such forward commitments. Available supply was therefore contracting, which put further upward pressure on prices.</w:t>
      </w:r>
    </w:p>
    <w:p>
      <w:pPr>
        <w:pStyle w:val="Normal"/>
        <w:spacing w:lineRule="auto" w:line="480" w:before="0" w:after="0"/>
        <w:ind w:start="720" w:end="0"/>
        <w:rPr/>
      </w:pPr>
      <w:r>
        <w:rPr/>
        <w:t>An example of this reduction in hydro output is shown below. Output from Grand Coulee Dam - the largest in the region – was down 40% in the first four months of 2001 compared to the same four months in 2000.</w:t>
      </w:r>
    </w:p>
    <w:p>
      <w:pPr>
        <w:pStyle w:val="Caption"/>
        <w:keepNext w:val="true"/>
        <w:rPr/>
      </w:pPr>
      <w:r>
        <w:rPr/>
        <w:t xml:space="preserve">Exhibit </w:t>
      </w:r>
      <w:r>
        <w:rPr/>
        <w:fldChar w:fldCharType="begin"/>
      </w:r>
      <w:r>
        <w:rPr/>
        <w:instrText xml:space="preserve"> SEQ Exhibit \* ARABIC </w:instrText>
      </w:r>
      <w:r>
        <w:rPr/>
        <w:fldChar w:fldCharType="separate"/>
      </w:r>
      <w:r>
        <w:rPr/>
        <w:t>8</w:t>
      </w:r>
      <w:r>
        <w:rPr/>
        <w:fldChar w:fldCharType="end"/>
      </w:r>
      <w:r>
        <w:rPr/>
        <w:t>. Monthly net generation at Grand Coulee Dam</w:t>
      </w:r>
    </w:p>
    <w:p>
      <w:pPr>
        <w:pStyle w:val="Normal"/>
        <w:spacing w:lineRule="auto" w:line="480" w:before="0" w:after="0"/>
        <w:ind w:start="720" w:end="0"/>
        <w:rPr/>
      </w:pPr>
      <w:r>
        <w:rPr/>
        <w:drawing>
          <wp:inline distT="0" distB="0" distL="0" distR="0">
            <wp:extent cx="4276090" cy="2929890"/>
            <wp:effectExtent l="0" t="0" r="0" b="0"/>
            <wp:docPr id="20"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 descr="" title=""/>
                    <pic:cNvPicPr>
                      <a:picLocks noChangeAspect="1" noChangeArrowheads="1"/>
                    </pic:cNvPicPr>
                  </pic:nvPicPr>
                  <pic:blipFill>
                    <a:blip r:embed="rId16"/>
                    <a:srcRect l="-4" t="-6" r="-4" b="-6"/>
                    <a:stretch>
                      <a:fillRect/>
                    </a:stretch>
                  </pic:blipFill>
                  <pic:spPr bwMode="auto">
                    <a:xfrm>
                      <a:off x="0" y="0"/>
                      <a:ext cx="4276090" cy="2929890"/>
                    </a:xfrm>
                    <a:prstGeom prst="rect">
                      <a:avLst/>
                    </a:prstGeom>
                    <a:noFill/>
                  </pic:spPr>
                </pic:pic>
              </a:graphicData>
            </a:graphic>
          </wp:inline>
        </w:drawing>
      </w:r>
    </w:p>
    <w:p>
      <w:pPr>
        <w:pStyle w:val="Normal"/>
        <w:spacing w:lineRule="auto" w:line="480" w:before="0" w:after="0"/>
        <w:ind w:start="720" w:end="0"/>
        <w:rPr>
          <w:i/>
          <w:i/>
          <w:iCs/>
          <w:sz w:val="16"/>
        </w:rPr>
      </w:pPr>
      <w:r>
        <w:rPr>
          <w:i/>
          <w:iCs/>
          <w:sz w:val="16"/>
        </w:rPr>
        <w:t>Source: Bureau of Reclamation</w:t>
      </w:r>
    </w:p>
    <w:p>
      <w:pPr>
        <w:pStyle w:val="Normal"/>
        <w:spacing w:lineRule="auto" w:line="480" w:before="0" w:after="0"/>
        <w:ind w:hanging="720" w:start="720" w:end="0"/>
        <w:rPr/>
      </w:pPr>
      <w:r>
        <w:rPr/>
        <w:t xml:space="preserve">Q. </w:t>
        <w:tab/>
        <w:t>How did hydrological conditions evolve during the second half of 2000 and early 2001?</w:t>
      </w:r>
    </w:p>
    <w:p>
      <w:pPr>
        <w:pStyle w:val="Normal"/>
        <w:spacing w:lineRule="auto" w:line="480" w:before="0" w:after="0"/>
        <w:ind w:hanging="720" w:start="720" w:end="0"/>
        <w:rPr/>
      </w:pPr>
      <w:r>
        <w:rPr/>
        <w:t>A.</w:t>
        <w:tab/>
        <w:t>Data is available from several sources regarding river-flow levels, precipitation, and weather forecasts. For the purposes of the Northwest analysis, we have focused on the two major river systems in the region: the Columbia River basin and the Snake River basin.</w:t>
      </w:r>
    </w:p>
    <w:p>
      <w:pPr>
        <w:pStyle w:val="Normal"/>
        <w:spacing w:lineRule="auto" w:line="480" w:before="0" w:after="0"/>
        <w:ind w:start="720" w:end="0"/>
        <w:rPr/>
      </w:pPr>
      <w:r>
        <w:rPr/>
        <w:t xml:space="preserve">The streamflow levels for both rivers dropped below average levels in May and June 2000, and have persisted below average since that time, as shown in </w:t>
      </w:r>
      <w:r>
        <w:rPr/>
        <w:fldChar w:fldCharType="begin"/>
      </w:r>
      <w:r>
        <w:rPr/>
        <w:instrText xml:space="preserve"> REF _Ref523043450 \h </w:instrText>
      </w:r>
      <w:r>
        <w:rPr/>
        <w:fldChar w:fldCharType="separate"/>
      </w:r>
      <w:r>
        <w:rPr/>
        <w:t>Figure 1</w:t>
      </w:r>
      <w:r>
        <w:rPr/>
        <w:fldChar w:fldCharType="end"/>
      </w:r>
      <w:r>
        <w:rPr/>
        <w:t>. By the end of the first quarter of 2001, both rivers were flowing at approximately 50% of their average levels, and both rivers had set new record lows for monthly flows.</w:t>
      </w:r>
    </w:p>
    <w:p>
      <w:pPr>
        <w:pStyle w:val="Normal"/>
        <w:spacing w:lineRule="auto" w:line="480" w:before="0" w:after="0"/>
        <w:rPr/>
      </w:pPr>
      <w:r>
        <w:rPr/>
      </w:r>
      <w:r>
        <mc:AlternateContent>
          <mc:Choice Requires="wps">
            <w:drawing>
              <wp:anchor behindDoc="0" distT="0" distB="0" distL="0" distR="114300" simplePos="0" locked="0" layoutInCell="0" allowOverlap="1" relativeHeight="15">
                <wp:simplePos x="0" y="0"/>
                <wp:positionH relativeFrom="column">
                  <wp:posOffset>-22225</wp:posOffset>
                </wp:positionH>
                <wp:positionV relativeFrom="paragraph">
                  <wp:posOffset>635</wp:posOffset>
                </wp:positionV>
                <wp:extent cx="5988050" cy="3602990"/>
                <wp:effectExtent l="0" t="0" r="0" b="0"/>
                <wp:wrapSquare wrapText="bothSides"/>
                <wp:docPr id="21" name="Frame6"/>
                <a:graphic xmlns:a="http://schemas.openxmlformats.org/drawingml/2006/main">
                  <a:graphicData uri="http://schemas.microsoft.com/office/word/2010/wordprocessingShape">
                    <wps:wsp>
                      <wps:cNvSpPr txBox="1"/>
                      <wps:spPr>
                        <a:xfrm>
                          <a:off x="0" y="0"/>
                          <a:ext cx="5988050" cy="3602990"/>
                        </a:xfrm>
                        <a:prstGeom prst="rect"/>
                        <a:solidFill>
                          <a:srgbClr val="FFFFFF">
                            <a:alpha val="0"/>
                          </a:srgbClr>
                        </a:solidFill>
                        <a:ln w="9525">
                          <a:solidFill>
                            <a:srgbClr val="000000"/>
                          </a:solidFill>
                        </a:ln>
                      </wps:spPr>
                      <wps:txbx>
                        <w:txbxContent>
                          <w:p>
                            <w:pPr>
                              <w:pStyle w:val="Normal"/>
                              <w:spacing w:lineRule="auto" w:line="480" w:before="0" w:after="0"/>
                              <w:ind w:hanging="720" w:start="720" w:end="0"/>
                              <w:rPr/>
                            </w:pPr>
                            <w:bookmarkStart w:id="16" w:name="_Ref523043450"/>
                            <w:r>
                              <w:rPr>
                                <w:b/>
                                <w:bCs/>
                              </w:rPr>
                              <w:t xml:space="preserve">Figure </w:t>
                            </w:r>
                            <w:r>
                              <w:rPr>
                                <w:b/>
                                <w:bCs/>
                              </w:rPr>
                              <w:fldChar w:fldCharType="begin"/>
                            </w:r>
                            <w:r>
                              <w:rPr>
                                <w:b/>
                                <w:bCs/>
                              </w:rPr>
                              <w:instrText xml:space="preserve"> SEQ Figure \* ARABIC </w:instrText>
                            </w:r>
                            <w:r>
                              <w:rPr>
                                <w:b/>
                                <w:bCs/>
                              </w:rPr>
                              <w:fldChar w:fldCharType="separate"/>
                            </w:r>
                            <w:r>
                              <w:rPr>
                                <w:b/>
                                <w:bCs/>
                              </w:rPr>
                              <w:t>1</w:t>
                            </w:r>
                            <w:r>
                              <w:rPr>
                                <w:b/>
                                <w:bCs/>
                              </w:rPr>
                              <w:fldChar w:fldCharType="end"/>
                            </w:r>
                            <w:bookmarkEnd w:id="16"/>
                            <w:r>
                              <w:rPr>
                                <w:b/>
                                <w:bCs/>
                              </w:rPr>
                              <w:t>. Streamflow for Columbia and Snake Rivers, % of average</w:t>
                            </w:r>
                          </w:p>
                          <w:p>
                            <w:pPr>
                              <w:pStyle w:val="Normal"/>
                              <w:spacing w:lineRule="auto" w:line="480" w:before="0" w:after="0"/>
                              <w:ind w:hanging="720" w:start="720" w:end="0"/>
                              <w:jc w:val="center"/>
                              <w:rPr/>
                            </w:pPr>
                            <w:r>
                              <w:rPr/>
                              <w:drawing>
                                <wp:inline distT="0" distB="0" distL="0" distR="0">
                                  <wp:extent cx="4276090" cy="2929890"/>
                                  <wp:effectExtent l="0" t="0" r="0" b="0"/>
                                  <wp:docPr id="2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 descr="" title=""/>
                                          <pic:cNvPicPr>
                                            <a:picLocks noChangeAspect="1" noChangeArrowheads="1"/>
                                          </pic:cNvPicPr>
                                        </pic:nvPicPr>
                                        <pic:blipFill>
                                          <a:blip r:embed="rId17"/>
                                          <a:srcRect l="-4" t="-6" r="-4" b="-6"/>
                                          <a:stretch>
                                            <a:fillRect/>
                                          </a:stretch>
                                        </pic:blipFill>
                                        <pic:spPr bwMode="auto">
                                          <a:xfrm>
                                            <a:off x="0" y="0"/>
                                            <a:ext cx="4276090" cy="2929890"/>
                                          </a:xfrm>
                                          <a:prstGeom prst="rect">
                                            <a:avLst/>
                                          </a:prstGeom>
                                          <a:noFill/>
                                        </pic:spPr>
                                      </pic:pic>
                                    </a:graphicData>
                                  </a:graphic>
                                </wp:inline>
                              </w:drawing>
                            </w:r>
                          </w:p>
                          <w:p>
                            <w:pPr>
                              <w:pStyle w:val="Normal"/>
                              <w:spacing w:lineRule="auto" w:line="480" w:before="0" w:after="0"/>
                              <w:ind w:hanging="720" w:start="720" w:end="0"/>
                              <w:rPr>
                                <w:sz w:val="20"/>
                              </w:rPr>
                            </w:pPr>
                            <w:r>
                              <w:rPr>
                                <w:i/>
                                <w:iCs/>
                                <w:sz w:val="20"/>
                              </w:rPr>
                              <w:t>Source: United States Geological Survey</w:t>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83.7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Normal"/>
                        <w:spacing w:lineRule="auto" w:line="480" w:before="0" w:after="0"/>
                        <w:ind w:hanging="720" w:start="720" w:end="0"/>
                        <w:rPr/>
                      </w:pPr>
                      <w:bookmarkStart w:id="17" w:name="_Ref523043450"/>
                      <w:r>
                        <w:rPr>
                          <w:b/>
                          <w:bCs/>
                        </w:rPr>
                        <w:t xml:space="preserve">Figure </w:t>
                      </w:r>
                      <w:r>
                        <w:rPr>
                          <w:b/>
                          <w:bCs/>
                        </w:rPr>
                        <w:fldChar w:fldCharType="begin"/>
                      </w:r>
                      <w:r>
                        <w:rPr>
                          <w:b/>
                          <w:bCs/>
                        </w:rPr>
                        <w:instrText xml:space="preserve"> SEQ Figure \* ARABIC </w:instrText>
                      </w:r>
                      <w:r>
                        <w:rPr>
                          <w:b/>
                          <w:bCs/>
                        </w:rPr>
                        <w:fldChar w:fldCharType="separate"/>
                      </w:r>
                      <w:r>
                        <w:rPr>
                          <w:b/>
                          <w:bCs/>
                        </w:rPr>
                        <w:t>1</w:t>
                      </w:r>
                      <w:r>
                        <w:rPr>
                          <w:b/>
                          <w:bCs/>
                        </w:rPr>
                        <w:fldChar w:fldCharType="end"/>
                      </w:r>
                      <w:bookmarkEnd w:id="17"/>
                      <w:r>
                        <w:rPr>
                          <w:b/>
                          <w:bCs/>
                        </w:rPr>
                        <w:t>. Streamflow for Columbia and Snake Rivers, % of average</w:t>
                      </w:r>
                    </w:p>
                    <w:p>
                      <w:pPr>
                        <w:pStyle w:val="Normal"/>
                        <w:spacing w:lineRule="auto" w:line="480" w:before="0" w:after="0"/>
                        <w:ind w:hanging="720" w:start="720" w:end="0"/>
                        <w:jc w:val="center"/>
                        <w:rPr/>
                      </w:pPr>
                      <w:r>
                        <w:rPr/>
                        <w:drawing>
                          <wp:inline distT="0" distB="0" distL="0" distR="0">
                            <wp:extent cx="4276090" cy="2929890"/>
                            <wp:effectExtent l="0" t="0" r="0" b="0"/>
                            <wp:docPr id="23"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 descr="" title=""/>
                                    <pic:cNvPicPr>
                                      <a:picLocks noChangeAspect="1" noChangeArrowheads="1"/>
                                    </pic:cNvPicPr>
                                  </pic:nvPicPr>
                                  <pic:blipFill>
                                    <a:blip r:embed="rId18"/>
                                    <a:srcRect l="-4" t="-6" r="-4" b="-6"/>
                                    <a:stretch>
                                      <a:fillRect/>
                                    </a:stretch>
                                  </pic:blipFill>
                                  <pic:spPr bwMode="auto">
                                    <a:xfrm>
                                      <a:off x="0" y="0"/>
                                      <a:ext cx="4276090" cy="2929890"/>
                                    </a:xfrm>
                                    <a:prstGeom prst="rect">
                                      <a:avLst/>
                                    </a:prstGeom>
                                    <a:noFill/>
                                  </pic:spPr>
                                </pic:pic>
                              </a:graphicData>
                            </a:graphic>
                          </wp:inline>
                        </w:drawing>
                      </w:r>
                    </w:p>
                    <w:p>
                      <w:pPr>
                        <w:pStyle w:val="Normal"/>
                        <w:spacing w:lineRule="auto" w:line="480" w:before="0" w:after="0"/>
                        <w:ind w:hanging="720" w:start="720" w:end="0"/>
                        <w:rPr>
                          <w:sz w:val="20"/>
                        </w:rPr>
                      </w:pPr>
                      <w:r>
                        <w:rPr>
                          <w:i/>
                          <w:iCs/>
                          <w:sz w:val="20"/>
                        </w:rPr>
                        <w:t>Source: United States Geological Survey</w:t>
                      </w:r>
                    </w:p>
                  </w:txbxContent>
                </v:textbox>
                <w10:wrap type="square"/>
              </v:rect>
            </w:pict>
          </mc:Fallback>
        </mc:AlternateContent>
      </w:r>
    </w:p>
    <w:p>
      <w:pPr>
        <w:pStyle w:val="Normal"/>
        <w:spacing w:lineRule="auto" w:line="480" w:before="0" w:after="0"/>
        <w:ind w:start="720" w:end="0"/>
        <w:rPr/>
      </w:pPr>
      <w:r>
        <w:rPr/>
        <w:t>This decline in streamflow levels can be traced back to reduced precipitation. For the Snake River, precipitation has been below average levels for all of 2000, though precipitation levels in the Columbia River basin had been close to average until October 2000. As the winter of 2000/01 began, precipitation levels were significantly lower than average, particularly in the Columbia River basin. Precipitation during these months is critical, as the snowpack built up during the winter will determine the level of river flows during the spring and summer of the following year. While 2000 exhibited snowpack levels that were almost normal, these levels were approximately 55-60% of average during 2001, with record low snowpack levels observed in April 2001.</w:t>
      </w:r>
      <w:r>
        <w:rPr>
          <w:rStyle w:val="FootnoteCharacters"/>
          <w:rStyle w:val="FootnoteReference"/>
        </w:rPr>
        <w:footnoteReference w:id="6"/>
      </w:r>
    </w:p>
    <w:p>
      <w:pPr>
        <w:pStyle w:val="BodyTextIndent"/>
        <w:rPr/>
      </w:pPr>
      <w:r>
        <w:rPr/>
        <w:t>As of July 2001, precipitation levels in both basins were approximately 70% of average. Not only did the diminished snowpack reduce snowmelt runoff in the spring months, but also rainfall levels during recent months have been low, resulting in the low streamflow levels currently seen.</w:t>
      </w:r>
    </w:p>
    <w:p>
      <w:pPr>
        <w:pStyle w:val="NormalHanging"/>
        <w:spacing w:lineRule="auto" w:line="480" w:before="0" w:after="0"/>
        <w:ind w:hanging="0" w:end="0"/>
        <w:rPr/>
      </w:pPr>
      <w:r>
        <w:rPr/>
        <w:t>An additional factor affecting water available for generation is the storage response. Gauging stations measure water in a river, though this is obviously affected by upstream water management decisions. Storage decisions will be based in part on projected water availability in the future. A diminished snowpack can be expected to reduce future streamflows, in which case more water will tend to be held back in reservoirs to protect against drought conditions.</w:t>
      </w:r>
    </w:p>
    <w:p>
      <w:pPr>
        <w:pStyle w:val="Normal"/>
        <w:spacing w:lineRule="auto" w:line="480" w:before="0" w:after="0"/>
        <w:ind w:start="720" w:end="0"/>
        <w:rPr/>
      </w:pPr>
      <w:r>
        <w:rPr/>
        <w:t xml:space="preserve">These expectations were widely available in the form of streamflow forecasts published by the National Oceanographic and Atmospheric Administration (NOAA). The forecasts for the Columbia River at The Dalles are shown in </w:t>
      </w:r>
      <w:r>
        <w:rPr/>
        <w:fldChar w:fldCharType="begin"/>
      </w:r>
      <w:r>
        <w:rPr/>
        <w:instrText xml:space="preserve"> REF _Ref523045365 \h </w:instrText>
      </w:r>
      <w:r>
        <w:rPr/>
        <w:fldChar w:fldCharType="separate"/>
      </w:r>
      <w:r>
        <w:rPr/>
        <w:t>Table 1</w:t>
      </w:r>
      <w:r>
        <w:rPr/>
        <w:fldChar w:fldCharType="end"/>
      </w:r>
      <w:r>
        <w:rPr/>
        <w:t>. Clearly, the reduced precipitation and resulting thin snowpack lead to projections of below-average streamflows for 2001.</w:t>
      </w:r>
    </w:p>
    <w:p>
      <w:pPr>
        <w:pStyle w:val="NormalHanging"/>
        <w:spacing w:lineRule="auto" w:line="480" w:before="0" w:after="0"/>
        <w:rPr/>
      </w:pPr>
      <w:r>
        <w:rPr/>
      </w:r>
      <w:r>
        <mc:AlternateContent>
          <mc:Choice Requires="wps">
            <w:drawing>
              <wp:anchor behindDoc="0" distT="0" distB="0" distL="0" distR="114300" simplePos="0" locked="0" layoutInCell="0" allowOverlap="1" relativeHeight="17">
                <wp:simplePos x="0" y="0"/>
                <wp:positionH relativeFrom="column">
                  <wp:posOffset>-22225</wp:posOffset>
                </wp:positionH>
                <wp:positionV relativeFrom="paragraph">
                  <wp:posOffset>635</wp:posOffset>
                </wp:positionV>
                <wp:extent cx="5988050" cy="1520825"/>
                <wp:effectExtent l="0" t="0" r="0" b="0"/>
                <wp:wrapSquare wrapText="bothSides"/>
                <wp:docPr id="24" name="Frame7"/>
                <a:graphic xmlns:a="http://schemas.openxmlformats.org/drawingml/2006/main">
                  <a:graphicData uri="http://schemas.microsoft.com/office/word/2010/wordprocessingShape">
                    <wps:wsp>
                      <wps:cNvSpPr txBox="1"/>
                      <wps:spPr>
                        <a:xfrm>
                          <a:off x="0" y="0"/>
                          <a:ext cx="5988050" cy="1520825"/>
                        </a:xfrm>
                        <a:prstGeom prst="rect"/>
                        <a:solidFill>
                          <a:srgbClr val="FFFFFF">
                            <a:alpha val="0"/>
                          </a:srgbClr>
                        </a:solidFill>
                        <a:ln w="9525">
                          <a:solidFill>
                            <a:srgbClr val="000000"/>
                          </a:solidFill>
                        </a:ln>
                      </wps:spPr>
                      <wps:txbx>
                        <w:txbxContent>
                          <w:p>
                            <w:pPr>
                              <w:pStyle w:val="Normal"/>
                              <w:spacing w:lineRule="auto" w:line="480" w:before="0" w:after="0"/>
                              <w:ind w:hanging="720" w:start="720" w:end="0"/>
                              <w:rPr/>
                            </w:pPr>
                            <w:bookmarkStart w:id="18" w:name="_Ref523045365"/>
                            <w:r>
                              <w:rPr>
                                <w:b/>
                                <w:bCs/>
                              </w:rPr>
                              <w:t xml:space="preserve">Table </w:t>
                            </w:r>
                            <w:r>
                              <w:rPr>
                                <w:b/>
                                <w:bCs/>
                              </w:rPr>
                              <w:fldChar w:fldCharType="begin"/>
                            </w:r>
                            <w:r>
                              <w:rPr>
                                <w:b/>
                                <w:bCs/>
                              </w:rPr>
                              <w:instrText xml:space="preserve"> SEQ Table \* ARABIC </w:instrText>
                            </w:r>
                            <w:r>
                              <w:rPr>
                                <w:b/>
                                <w:bCs/>
                              </w:rPr>
                              <w:fldChar w:fldCharType="separate"/>
                            </w:r>
                            <w:r>
                              <w:rPr>
                                <w:b/>
                                <w:bCs/>
                              </w:rPr>
                              <w:t>1</w:t>
                            </w:r>
                            <w:r>
                              <w:rPr>
                                <w:b/>
                                <w:bCs/>
                              </w:rPr>
                              <w:fldChar w:fldCharType="end"/>
                            </w:r>
                            <w:bookmarkEnd w:id="18"/>
                            <w:r>
                              <w:rPr>
                                <w:b/>
                                <w:bCs/>
                              </w:rPr>
                              <w:t>. Streamflow forecast for Columbia River at The Dalles, % of average</w:t>
                            </w:r>
                          </w:p>
                          <w:p>
                            <w:pPr>
                              <w:pStyle w:val="Normal"/>
                              <w:spacing w:lineRule="auto" w:line="480" w:before="0" w:after="0"/>
                              <w:ind w:hanging="720" w:start="720" w:end="0"/>
                              <w:jc w:val="center"/>
                              <w:rPr/>
                            </w:pPr>
                            <w:bookmarkStart w:id="19" w:name="_1060267676"/>
                            <w:bookmarkEnd w:id="19"/>
                            <w:r>
                              <w:rPr/>
                              <w:object w:dxaOrig="5398" w:dyaOrig="1051">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271.35pt;height:51.7pt" filled="f" o:ole="">
                                  <v:imagedata r:id="rId20" o:title=""/>
                                </v:shape>
                                <o:OLEObject Type="Embed" ProgID="Excel.Sheet.12" ShapeID="ole_rId19" DrawAspect="Content" ObjectID="_1998295744" r:id="rId19"/>
                              </w:object>
                            </w:r>
                          </w:p>
                          <w:p>
                            <w:pPr>
                              <w:pStyle w:val="BodyTextIndent3"/>
                              <w:spacing w:lineRule="auto" w:line="240"/>
                              <w:rPr>
                                <w:sz w:val="20"/>
                              </w:rPr>
                            </w:pPr>
                            <w:r>
                              <w:rPr>
                                <w:sz w:val="20"/>
                              </w:rPr>
                              <w:t>Source: Northwest River Forecast Center, NOAA. Forecasts are for two future periods in the same year the forecast was issued. Forecasts were issues in January of June, as noted.</w:t>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19.7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Normal"/>
                        <w:spacing w:lineRule="auto" w:line="480" w:before="0" w:after="0"/>
                        <w:ind w:hanging="720" w:start="720" w:end="0"/>
                        <w:rPr/>
                      </w:pPr>
                      <w:bookmarkStart w:id="20" w:name="_Ref523045365"/>
                      <w:r>
                        <w:rPr>
                          <w:b/>
                          <w:bCs/>
                        </w:rPr>
                        <w:t xml:space="preserve">Table </w:t>
                      </w:r>
                      <w:r>
                        <w:rPr>
                          <w:b/>
                          <w:bCs/>
                        </w:rPr>
                        <w:fldChar w:fldCharType="begin"/>
                      </w:r>
                      <w:r>
                        <w:rPr>
                          <w:b/>
                          <w:bCs/>
                        </w:rPr>
                        <w:instrText xml:space="preserve"> SEQ Table \* ARABIC </w:instrText>
                      </w:r>
                      <w:r>
                        <w:rPr>
                          <w:b/>
                          <w:bCs/>
                        </w:rPr>
                        <w:fldChar w:fldCharType="separate"/>
                      </w:r>
                      <w:r>
                        <w:rPr>
                          <w:b/>
                          <w:bCs/>
                        </w:rPr>
                        <w:t>1</w:t>
                      </w:r>
                      <w:r>
                        <w:rPr>
                          <w:b/>
                          <w:bCs/>
                        </w:rPr>
                        <w:fldChar w:fldCharType="end"/>
                      </w:r>
                      <w:bookmarkEnd w:id="20"/>
                      <w:r>
                        <w:rPr>
                          <w:b/>
                          <w:bCs/>
                        </w:rPr>
                        <w:t>. Streamflow forecast for Columbia River at The Dalles, % of average</w:t>
                      </w:r>
                    </w:p>
                    <w:p>
                      <w:pPr>
                        <w:pStyle w:val="Normal"/>
                        <w:spacing w:lineRule="auto" w:line="480" w:before="0" w:after="0"/>
                        <w:ind w:hanging="720" w:start="720" w:end="0"/>
                        <w:jc w:val="center"/>
                        <w:rPr/>
                      </w:pPr>
                      <w:bookmarkStart w:id="21" w:name="_1060267676"/>
                      <w:bookmarkEnd w:id="21"/>
                      <w:r>
                        <w:rPr/>
                        <w:object w:dxaOrig="5398" w:dyaOrig="1051">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271.35pt;height:51.7pt" filled="f" o:ole="">
                            <v:imagedata r:id="rId22" o:title=""/>
                          </v:shape>
                          <o:OLEObject Type="Embed" ProgID="Excel.Sheet.12" ShapeID="ole_rId21" DrawAspect="Content" ObjectID="_793659796" r:id="rId21"/>
                        </w:object>
                      </w:r>
                    </w:p>
                    <w:p>
                      <w:pPr>
                        <w:pStyle w:val="BodyTextIndent3"/>
                        <w:spacing w:lineRule="auto" w:line="240"/>
                        <w:rPr>
                          <w:sz w:val="20"/>
                        </w:rPr>
                      </w:pPr>
                      <w:r>
                        <w:rPr>
                          <w:sz w:val="20"/>
                        </w:rPr>
                        <w:t>Source: Northwest River Forecast Center, NOAA. Forecasts are for two future periods in the same year the forecast was issued. Forecasts were issues in January of June, as noted.</w:t>
                      </w:r>
                    </w:p>
                  </w:txbxContent>
                </v:textbox>
                <w10:wrap type="square"/>
              </v:rect>
            </w:pict>
          </mc:Fallback>
        </mc:AlternateContent>
      </w:r>
    </w:p>
    <w:p>
      <w:pPr>
        <w:pStyle w:val="Normal"/>
        <w:spacing w:lineRule="auto" w:line="480" w:before="0" w:after="0"/>
        <w:ind w:hanging="720" w:start="720" w:end="0"/>
        <w:rPr/>
      </w:pPr>
      <w:r>
        <w:rPr/>
        <w:t xml:space="preserve">Q. </w:t>
        <w:tab/>
        <w:t>What was the response of hydro operators as these dry conditions became increasingly apparent?</w:t>
      </w:r>
    </w:p>
    <w:p>
      <w:pPr>
        <w:pStyle w:val="Normal"/>
        <w:spacing w:lineRule="auto" w:line="480" w:before="0" w:after="0"/>
        <w:ind w:hanging="720" w:start="720" w:end="0"/>
        <w:rPr/>
      </w:pPr>
      <w:r>
        <w:rPr/>
        <w:t>A.</w:t>
        <w:tab/>
        <w:t>[XX will get historical storage data to compare 2000/01 to previous cycles. Hope to show either low reservoirs – leading to reduced output – or more than proportional holding back.]</w:t>
      </w:r>
    </w:p>
    <w:p>
      <w:pPr>
        <w:pStyle w:val="Normal"/>
        <w:spacing w:lineRule="auto" w:line="480" w:before="0" w:after="0"/>
        <w:ind w:hanging="720" w:start="720" w:end="0"/>
        <w:rPr/>
      </w:pPr>
      <w:r>
        <w:rPr/>
        <w:t xml:space="preserve">Q. </w:t>
        <w:tab/>
        <w:t xml:space="preserve">What was the impact of this emerging drought on forward electricity prices? </w:t>
      </w:r>
    </w:p>
    <w:p>
      <w:pPr>
        <w:pStyle w:val="Normal"/>
        <w:spacing w:lineRule="auto" w:line="480" w:before="0" w:after="0"/>
        <w:ind w:hanging="720" w:start="720" w:end="0"/>
        <w:rPr/>
      </w:pPr>
      <w:r>
        <w:rPr/>
        <w:t>A.</w:t>
        <w:tab/>
        <w:t>Primarily, it reduced the supply of forward contracts that could be offered by hydro-backed assets. To replace the contraction in forward volumes that could be backed by hydro plants, contracts had to be backed by additional thermal plants, often of lower reliability and higher cost. As with any contraction in supply, the resulting price for forward commitments increased.</w:t>
      </w:r>
    </w:p>
    <w:p>
      <w:pPr>
        <w:pStyle w:val="Normal"/>
        <w:spacing w:lineRule="auto" w:line="480" w:before="0" w:after="0"/>
        <w:ind w:hanging="720" w:start="720" w:end="0"/>
        <w:rPr/>
      </w:pPr>
      <w:r>
        <w:rPr/>
        <w:t xml:space="preserve">Q. </w:t>
        <w:tab/>
        <w:t>What does this mean for the claim that spot market distortions must have also distorted forward transactions?</w:t>
      </w:r>
    </w:p>
    <w:p>
      <w:pPr>
        <w:pStyle w:val="Normal"/>
        <w:spacing w:lineRule="auto" w:line="480" w:before="0" w:after="0"/>
        <w:ind w:hanging="720" w:start="720" w:end="0"/>
        <w:rPr/>
      </w:pPr>
      <w:r>
        <w:rPr/>
        <w:t>A.</w:t>
        <w:tab/>
        <w:t xml:space="preserve">Forward pricing of electricity is informed by multiple parameters. Perceived distortions in the spot market – and therefore expected opportunity costs of foregone spot sales – are only one of them. While simplistic comparisons may show similar price movements in spot and forward markets, much of this correlation is due to both markets independently reacting to external factors that affect them both. </w:t>
      </w:r>
    </w:p>
    <w:p>
      <w:pPr>
        <w:pStyle w:val="Normal"/>
        <w:spacing w:lineRule="auto" w:line="480" w:before="0" w:after="0"/>
        <w:ind w:start="720" w:end="0"/>
        <w:rPr/>
      </w:pPr>
      <w:r>
        <w:rPr/>
        <w:t>An initial analysis of available data indicates that movements in forward electricity markets in the Pacific Northwest were consistent with external factors, particularly the natural gas market and the emerging drought conditions that restricted hydro availability. It would appear, then, that the claims about forward markets being severely distorted as a result of spot market events are largely exaggerated. At best, they are unsupported.</w:t>
      </w:r>
    </w:p>
    <w:p>
      <w:pPr>
        <w:pStyle w:val="Heading1"/>
        <w:numPr>
          <w:ilvl w:val="0"/>
          <w:numId w:val="0"/>
        </w:numPr>
        <w:ind w:firstLine="720" w:start="0" w:end="0"/>
        <w:rPr/>
      </w:pPr>
      <w:r>
        <w:rPr/>
        <w:t>Affidavit</w:t>
      </w:r>
    </w:p>
    <w:p>
      <w:pPr>
        <w:pStyle w:val="NormalHanging"/>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rPr/>
      </w:pPr>
      <w:r>
        <w:rPr/>
        <w:tab/>
        <w:t>Seabron Adamson, being duly sworn deposes and says: That he has read the foregoing questions and answers identified as his testimony in this proceeding; and if asked the questions therein his answers and responses would be as shown; and that the facts contained in said answers are true to the best of his knowledge and belief.</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ind w:hanging="720" w:start="720" w:end="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ind w:hanging="720" w:start="720" w:end="0"/>
        <w:rPr/>
      </w:pPr>
      <w:r>
        <mc:AlternateContent>
          <mc:Choice Requires="wps">
            <w:drawing>
              <wp:anchor behindDoc="0" distT="0" distB="0" distL="114935" distR="114935" simplePos="0" locked="0" layoutInCell="1" allowOverlap="1" relativeHeight="19">
                <wp:simplePos x="0" y="0"/>
                <wp:positionH relativeFrom="column">
                  <wp:posOffset>461010</wp:posOffset>
                </wp:positionH>
                <wp:positionV relativeFrom="paragraph">
                  <wp:posOffset>467995</wp:posOffset>
                </wp:positionV>
                <wp:extent cx="2857500" cy="0"/>
                <wp:effectExtent l="0" t="5080" r="0" b="5080"/>
                <wp:wrapNone/>
                <wp:docPr id="25" name=""/>
                <a:graphic xmlns:a="http://schemas.openxmlformats.org/drawingml/2006/main">
                  <a:graphicData uri="http://schemas.microsoft.com/office/word/2010/wordprocessingShape">
                    <wps:wsp>
                      <wps:cNvSpPr/>
                      <wps:spPr>
                        <a:xfrm>
                          <a:off x="0" y="0"/>
                          <a:ext cx="2857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3pt,36.85pt" to="261.25pt,36.85pt" stroked="t" o:allowincell="f" style="position:absolute">
                <v:stroke color="black" weight="9360" joinstyle="miter" endcap="flat"/>
                <v:fill o:detectmouseclick="t" on="false"/>
                <w10:wrap type="none"/>
              </v:line>
            </w:pict>
          </mc:Fallback>
        </mc:AlternateContent>
      </w:r>
      <w:r>
        <w:rPr/>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ind w:hanging="720" w:start="720" w:end="0"/>
        <w:rPr/>
      </w:pPr>
      <w:r>
        <w:rPr/>
        <w:tab/>
        <w:t>Seabron Adamson</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ind w:hanging="720" w:start="720" w:end="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ind w:hanging="720" w:start="720" w:end="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ind w:hanging="720" w:start="720" w:end="0"/>
        <w:rPr/>
      </w:pPr>
      <w:r>
        <w:rPr/>
        <w:tab/>
        <w:t>Subscribed and sworn to before me, this 24th day of August, 2001.</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ind w:hanging="720" w:start="720" w:end="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ind w:hanging="720" w:start="720" w:end="0"/>
        <w:rPr/>
      </w:pPr>
      <w:r>
        <mc:AlternateContent>
          <mc:Choice Requires="wps">
            <w:drawing>
              <wp:anchor behindDoc="0" distT="0" distB="0" distL="114935" distR="114935" simplePos="0" locked="0" layoutInCell="1" allowOverlap="1" relativeHeight="20">
                <wp:simplePos x="0" y="0"/>
                <wp:positionH relativeFrom="column">
                  <wp:posOffset>2108835</wp:posOffset>
                </wp:positionH>
                <wp:positionV relativeFrom="paragraph">
                  <wp:posOffset>130175</wp:posOffset>
                </wp:positionV>
                <wp:extent cx="2857500" cy="0"/>
                <wp:effectExtent l="0" t="5080" r="0" b="5080"/>
                <wp:wrapNone/>
                <wp:docPr id="26" name=""/>
                <a:graphic xmlns:a="http://schemas.openxmlformats.org/drawingml/2006/main">
                  <a:graphicData uri="http://schemas.microsoft.com/office/word/2010/wordprocessingShape">
                    <wps:wsp>
                      <wps:cNvSpPr/>
                      <wps:spPr>
                        <a:xfrm>
                          <a:off x="0" y="0"/>
                          <a:ext cx="2857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6.05pt,10.25pt" to="391pt,10.25pt" stroked="t" o:allowincell="f" style="position:absolute">
                <v:stroke color="black" weight="9360" joinstyle="miter" endcap="flat"/>
                <v:fill o:detectmouseclick="t" on="false"/>
                <w10:wrap type="none"/>
              </v:line>
            </w:pict>
          </mc:Fallback>
        </mc:AlternateContent>
      </w:r>
      <w:r>
        <w:rPr/>
        <w:tab/>
        <w:t>Notary Public:</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ind w:hanging="720" w:start="720" w:end="0"/>
        <w:rPr/>
      </w:pPr>
      <w:r>
        <w:rPr/>
      </w:r>
    </w:p>
    <w:p>
      <w:pPr>
        <w:pStyle w:val="NormalHanging"/>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rPr/>
      </w:pPr>
      <w:r>
        <mc:AlternateContent>
          <mc:Choice Requires="wps">
            <w:drawing>
              <wp:anchor behindDoc="0" distT="0" distB="0" distL="114935" distR="114935" simplePos="0" locked="0" layoutInCell="1" allowOverlap="1" relativeHeight="21">
                <wp:simplePos x="0" y="0"/>
                <wp:positionH relativeFrom="column">
                  <wp:posOffset>2108835</wp:posOffset>
                </wp:positionH>
                <wp:positionV relativeFrom="paragraph">
                  <wp:posOffset>115570</wp:posOffset>
                </wp:positionV>
                <wp:extent cx="2857500" cy="0"/>
                <wp:effectExtent l="0" t="5080" r="0" b="5080"/>
                <wp:wrapNone/>
                <wp:docPr id="27" name=""/>
                <a:graphic xmlns:a="http://schemas.openxmlformats.org/drawingml/2006/main">
                  <a:graphicData uri="http://schemas.microsoft.com/office/word/2010/wordprocessingShape">
                    <wps:wsp>
                      <wps:cNvSpPr/>
                      <wps:spPr>
                        <a:xfrm>
                          <a:off x="0" y="0"/>
                          <a:ext cx="2857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6.05pt,9.1pt" to="391pt,9.1pt" stroked="t" o:allowincell="f" style="position:absolute">
                <v:stroke color="black" weight="9360" joinstyle="miter" endcap="flat"/>
                <v:fill o:detectmouseclick="t" on="false"/>
                <w10:wrap type="none"/>
              </v:line>
            </w:pict>
          </mc:Fallback>
        </mc:AlternateContent>
      </w:r>
      <w:r>
        <w:rPr/>
        <w:tab/>
        <w:t>My Commission Expires:</w:t>
      </w:r>
    </w:p>
    <w:sectPr>
      <w:headerReference w:type="default" r:id="rId23"/>
      <w:footerReference w:type="default" r:id="rId24"/>
      <w:footnotePr>
        <w:numFmt w:val="decimal"/>
      </w:footnotePr>
      <w:type w:val="nextPage"/>
      <w:pgSz w:w="12240" w:h="15840"/>
      <w:pgMar w:left="1440" w:right="1440" w:gutter="0" w:header="720" w:top="1440" w:footer="720" w:bottom="1800"/>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i/>
        <w:i/>
        <w:iCs/>
        <w:sz w:val="22"/>
      </w:rPr>
    </w:pPr>
    <w:r>
      <w:rPr>
        <w:b/>
        <w:bCs/>
        <w:i/>
        <w:iCs/>
        <w:sz w:val="22"/>
      </w:rPr>
      <w:t>Privileged and Confidential</w:t>
    </w:r>
  </w:p>
  <w:p>
    <w:pPr>
      <w:pStyle w:val="Footer"/>
      <w:jc w:val="center"/>
      <w:rPr>
        <w:b/>
        <w:bCs/>
        <w:i/>
        <w:i/>
        <w:iCs/>
        <w:sz w:val="22"/>
      </w:rPr>
    </w:pPr>
    <w:r>
      <w:rPr>
        <w:b/>
        <w:bCs/>
        <w:i/>
        <w:iCs/>
        <w:sz w:val="22"/>
      </w:rPr>
      <w:t>Attorney/Client Work Product</w:t>
    </w:r>
  </w:p>
  <w:p>
    <w:pPr>
      <w:pStyle w:val="Footer"/>
      <w:jc w:val="cen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30</w:t>
    </w:r>
    <w:r>
      <w:rPr>
        <w:rStyle w:val="PageNumber"/>
        <w:b/>
        <w:bC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footnoteRef/>
      </w:r>
      <w:r>
        <w:rPr/>
        <w:t xml:space="preserve"> </w:t>
      </w:r>
      <w:r>
        <w:rPr/>
        <w:tab/>
        <w:t>Department of Justice and Federal Trade Commission Merger Guidelines, quoted in California ISO Market Surveillance Committee report “The Competitiveness of the California Energy and Ancillary Services Markets”, March 9, 2000.</w:t>
      </w:r>
    </w:p>
  </w:footnote>
  <w:footnote w:id="3">
    <w:p>
      <w:pPr>
        <w:pStyle w:val="FootnoteText"/>
        <w:suppressAutoHyphens w:val="true"/>
        <w:spacing w:before="0" w:after="240"/>
        <w:ind w:hanging="720" w:start="720" w:end="0"/>
        <w:rPr/>
      </w:pPr>
      <w:r>
        <w:rPr>
          <w:rStyle w:val="FootnoteCharacters"/>
        </w:rPr>
        <w:footnoteRef/>
      </w:r>
      <w:r>
        <w:rPr/>
        <w:t xml:space="preserve"> </w:t>
      </w:r>
      <w:r>
        <w:rPr/>
        <w:tab/>
        <w:t>By this same logic, a building owner renting out apartments in Washington, DC should base rents charged to tenants on the historical cost of constructing the building, at an “appropriate” return reflecting the terms of the mortgage. By this standard the rent charged in 2001 for a century-old townhouse in Georgetown should reflect the costs of construction in 1901, and have nothing to do with today’s costs of land, labor and materials. Needless to say, this is not the normal functioning of a market economy.</w:t>
      </w:r>
    </w:p>
  </w:footnote>
  <w:footnote w:id="4">
    <w:p>
      <w:pPr>
        <w:pStyle w:val="FootnoteText"/>
        <w:suppressAutoHyphens w:val="true"/>
        <w:spacing w:before="0" w:after="240"/>
        <w:ind w:hanging="720" w:start="720" w:end="0"/>
        <w:rPr/>
      </w:pPr>
      <w:r>
        <w:rPr>
          <w:rStyle w:val="FootnoteCharacters"/>
        </w:rPr>
        <w:footnoteRef/>
      </w:r>
      <w:r>
        <w:rPr/>
        <w:t xml:space="preserve"> </w:t>
      </w:r>
      <w:r>
        <w:rPr/>
        <w:tab/>
        <w:t>These prices were provided to us by Enron Corporation based on their extensive trading activity. Reliable public data on delivered forward prices is not publicly available for delivered locations other than Henry Hub.</w:t>
      </w:r>
    </w:p>
  </w:footnote>
  <w:footnote w:id="5">
    <w:p>
      <w:pPr>
        <w:pStyle w:val="FootnoteText"/>
        <w:suppressAutoHyphens w:val="true"/>
        <w:spacing w:before="0" w:after="240"/>
        <w:ind w:hanging="720" w:start="720" w:end="0"/>
        <w:rPr/>
      </w:pPr>
      <w:r>
        <w:rPr>
          <w:rStyle w:val="FootnoteCharacters"/>
        </w:rPr>
        <w:footnoteRef/>
      </w:r>
      <w:r>
        <w:rPr/>
        <w:t xml:space="preserve"> </w:t>
      </w:r>
      <w:r>
        <w:rPr/>
        <w:tab/>
        <w:t>This is for all observations presented by Mr. McCullough in his testimony. When limited only to observations during the PNW refund period, the correlation with DJ daily prices at Mid-C falls to 0.44, while the correlation with Malin forward gas prices is 0.79.</w:t>
      </w:r>
    </w:p>
  </w:footnote>
  <w:footnote w:id="6">
    <w:p>
      <w:pPr>
        <w:pStyle w:val="FootnoteText"/>
        <w:suppressAutoHyphens w:val="true"/>
        <w:spacing w:before="0" w:after="240"/>
        <w:ind w:hanging="720" w:start="720" w:end="0"/>
        <w:rPr/>
      </w:pPr>
      <w:r>
        <w:rPr>
          <w:rStyle w:val="FootnoteCharacters"/>
        </w:rPr>
        <w:footnoteRef/>
      </w:r>
      <w:r>
        <w:rPr/>
        <w:t xml:space="preserve"> </w:t>
      </w:r>
      <w:r>
        <w:rPr/>
        <w:tab/>
        <w:t>Source: National Water and Climate Center, part of the Natural Resource Conservation Service, itself an agency of the US Department of Agriculture. Their website is www.wcc.nrcs.usda.gov.</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center"/>
      <w:rPr/>
    </w:pPr>
    <w:r>
      <w:rPr>
        <w:sz w:val="22"/>
      </w:rPr>
      <w:t>DRAFT – Saturday p.m., August 25</w:t>
    </w:r>
    <w:r>
      <w:rPr>
        <w:sz w:val="22"/>
        <w:vertAlign w:val="superscript"/>
      </w:rPr>
      <w:t>th</w:t>
    </w:r>
    <w:r>
      <w:rPr>
        <w:sz w:val="22"/>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lvl>
    <w:lvl w:ilvl="1">
      <w:start w:val="1"/>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7"/>
      <w:numFmt w:val="upperLetter"/>
      <w:lvlText w:val="%1."/>
      <w:lvlJc w:val="start"/>
      <w:pPr>
        <w:tabs>
          <w:tab w:val="num" w:pos="1080"/>
        </w:tabs>
        <w:ind w:start="1080" w:hanging="720"/>
      </w:pPr>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7"/>
      <w:numFmt w:val="upperLetter"/>
      <w:lvlText w:val="%1."/>
      <w:lvlJc w:val="start"/>
      <w:pPr>
        <w:tabs>
          <w:tab w:val="num" w:pos="720"/>
        </w:tabs>
        <w:ind w:start="720" w:hanging="360"/>
      </w:pPr>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spacing w:before="120" w:after="240"/>
      <w:ind w:hanging="720" w:start="720" w:end="0"/>
      <w:outlineLvl w:val="1"/>
    </w:pPr>
    <w:rPr>
      <w:b/>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tabs>
        <w:tab w:val="clear" w:pos="720"/>
        <w:tab w:val="left" w:pos="1008" w:leader="none"/>
      </w:tabs>
      <w:outlineLvl w:val="4"/>
    </w:pPr>
    <w:rPr>
      <w:rFonts w:ascii="Book Antiqua" w:hAnsi="Book Antiqua" w:cs="Book Antiqua"/>
      <w:sz w:val="22"/>
      <w:lang w:val="en-US"/>
    </w:rPr>
  </w:style>
  <w:style w:type="paragraph" w:styleId="Heading6">
    <w:name w:val="heading 6"/>
    <w:basedOn w:val="Normal"/>
    <w:next w:val="Normal"/>
    <w:qFormat/>
    <w:pPr>
      <w:numPr>
        <w:ilvl w:val="5"/>
        <w:numId w:val="1"/>
      </w:numPr>
      <w:tabs>
        <w:tab w:val="clear" w:pos="720"/>
        <w:tab w:val="left" w:pos="1152" w:leader="none"/>
      </w:tabs>
      <w:outlineLvl w:val="5"/>
    </w:pPr>
    <w:rPr>
      <w:rFonts w:ascii="Book Antiqua" w:hAnsi="Book Antiqua" w:cs="Book Antiqua"/>
      <w:sz w:val="22"/>
      <w:lang w:val="en-US"/>
    </w:rPr>
  </w:style>
  <w:style w:type="paragraph" w:styleId="Heading7">
    <w:name w:val="heading 7"/>
    <w:basedOn w:val="Normal"/>
    <w:next w:val="Normal"/>
    <w:qFormat/>
    <w:pPr>
      <w:numPr>
        <w:ilvl w:val="6"/>
        <w:numId w:val="1"/>
      </w:numPr>
      <w:tabs>
        <w:tab w:val="clear" w:pos="720"/>
        <w:tab w:val="left" w:pos="1296" w:leader="none"/>
      </w:tabs>
      <w:outlineLvl w:val="6"/>
    </w:pPr>
    <w:rPr>
      <w:rFonts w:ascii="Book Antiqua" w:hAnsi="Book Antiqua" w:cs="Book Antiqua"/>
      <w:sz w:val="22"/>
      <w:lang w:val="en-US"/>
    </w:rPr>
  </w:style>
  <w:style w:type="paragraph" w:styleId="Heading8">
    <w:name w:val="heading 8"/>
    <w:basedOn w:val="Normal"/>
    <w:next w:val="Normal"/>
    <w:qFormat/>
    <w:pPr>
      <w:numPr>
        <w:ilvl w:val="7"/>
        <w:numId w:val="1"/>
      </w:numPr>
      <w:tabs>
        <w:tab w:val="clear" w:pos="720"/>
        <w:tab w:val="left" w:pos="1440" w:leader="none"/>
      </w:tabs>
      <w:outlineLvl w:val="7"/>
    </w:pPr>
    <w:rPr>
      <w:rFonts w:ascii="Book Antiqua" w:hAnsi="Book Antiqua" w:cs="Book Antiqua"/>
      <w:sz w:val="22"/>
      <w:lang w:val="en-US"/>
    </w:rPr>
  </w:style>
  <w:style w:type="paragraph" w:styleId="Heading9">
    <w:name w:val="heading 9"/>
    <w:basedOn w:val="Normal"/>
    <w:next w:val="Normal"/>
    <w:qFormat/>
    <w:pPr>
      <w:numPr>
        <w:ilvl w:val="8"/>
        <w:numId w:val="1"/>
      </w:numPr>
      <w:tabs>
        <w:tab w:val="clear" w:pos="720"/>
        <w:tab w:val="left" w:pos="1584" w:leader="none"/>
      </w:tabs>
      <w:outlineLvl w:val="8"/>
    </w:pPr>
    <w:rPr>
      <w:rFonts w:ascii="Book Antiqua" w:hAnsi="Book Antiqua" w:cs="Book Antiqua"/>
      <w:sz w:val="22"/>
      <w:lang w:val="en-US"/>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7"/>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8"/>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BodyTextIndent2">
    <w:name w:val="Body Text Indent 2"/>
    <w:basedOn w:val="Normal"/>
    <w:qFormat/>
    <w:pPr>
      <w:tabs>
        <w:tab w:val="clear" w:pos="720"/>
        <w:tab w:val="left" w:pos="-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222"/>
      <w:ind w:firstLine="720" w:start="0" w:end="0"/>
    </w:pPr>
    <w:rPr>
      <w:sz w:val="24"/>
    </w:rPr>
  </w:style>
  <w:style w:type="paragraph" w:styleId="BodyText2">
    <w:name w:val="Body Text 2"/>
    <w:basedOn w:val="Normal"/>
    <w:qFormat/>
    <w:pPr>
      <w:pBdr>
        <w:top w:val="single" w:sz="6" w:space="1" w:color="000000"/>
        <w:left w:val="single" w:sz="6" w:space="1" w:color="000000"/>
        <w:bottom w:val="single" w:sz="6" w:space="1" w:color="000000"/>
        <w:right w:val="single" w:sz="6" w:space="1" w:color="000000"/>
      </w:pBdr>
      <w:jc w:val="start"/>
    </w:pPr>
    <w:rPr>
      <w:i/>
      <w:iCs/>
      <w:sz w:val="16"/>
    </w:rPr>
  </w:style>
  <w:style w:type="paragraph" w:styleId="BodyTextIndent">
    <w:name w:val="Body Text Indent"/>
    <w:basedOn w:val="Normal"/>
    <w:pPr>
      <w:spacing w:lineRule="auto" w:line="480" w:before="0" w:after="0"/>
      <w:ind w:hanging="0" w:start="720" w:end="0"/>
    </w:pPr>
    <w:rPr/>
  </w:style>
  <w:style w:type="paragraph" w:styleId="BodyTextIndent3">
    <w:name w:val="Body Text Indent 3"/>
    <w:basedOn w:val="Normal"/>
    <w:qFormat/>
    <w:pPr>
      <w:pBdr>
        <w:top w:val="single" w:sz="6" w:space="1" w:color="000000"/>
        <w:left w:val="single" w:sz="6" w:space="1" w:color="000000"/>
        <w:bottom w:val="single" w:sz="6" w:space="1" w:color="000000"/>
        <w:right w:val="single" w:sz="6" w:space="1" w:color="000000"/>
      </w:pBdr>
      <w:spacing w:lineRule="auto" w:line="480" w:before="0" w:after="0"/>
      <w:ind w:hanging="720" w:start="720" w:end="0"/>
    </w:pPr>
    <w:rPr>
      <w:i/>
      <w:i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7.wmf"/><Relationship Id="rId16" Type="http://schemas.openxmlformats.org/officeDocument/2006/relationships/image" Target="media/image8.wmf"/><Relationship Id="rId17" Type="http://schemas.openxmlformats.org/officeDocument/2006/relationships/image" Target="media/image9.wmf"/><Relationship Id="rId18" Type="http://schemas.openxmlformats.org/officeDocument/2006/relationships/image" Target="media/image9.wmf"/><Relationship Id="rId19" Type="http://schemas.openxmlformats.org/officeDocument/2006/relationships/package" Target="embeddings/oleObject1.xlsx"/><Relationship Id="rId20" Type="http://schemas.openxmlformats.org/officeDocument/2006/relationships/image" Target="media/image10.wmf"/><Relationship Id="rId21" Type="http://schemas.openxmlformats.org/officeDocument/2006/relationships/package" Target="embeddings/oleObject2.xlsx"/><Relationship Id="rId22" Type="http://schemas.openxmlformats.org/officeDocument/2006/relationships/image" Target="media/image10.wmf"/><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2001-08-25T16:32:00Z</dcterms:created>
  <dc:creator>Kevin Wellenius</dc:creator>
  <dc:description/>
  <dc:language>en-CA</dc:language>
  <cp:lastModifiedBy>Seabron Adamson</cp:lastModifiedBy>
  <cp:lastPrinted>2000-03-21T14:42:00Z</cp:lastPrinted>
  <dcterms:modified xsi:type="dcterms:W3CDTF">2001-08-25T19:48:00Z</dcterms:modified>
  <cp:revision>17</cp:revision>
  <dc:subject/>
  <dc:title>Introduction</dc:title>
</cp:coreProperties>
</file>