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10" w:type="dxa"/>
        <w:jc w:val="start"/>
        <w:tblInd w:w="-270" w:type="dxa"/>
        <w:tblLayout w:type="fixed"/>
        <w:tblCellMar>
          <w:top w:w="0" w:type="dxa"/>
          <w:start w:w="0" w:type="dxa"/>
          <w:bottom w:w="0" w:type="dxa"/>
          <w:end w:w="0" w:type="dxa"/>
        </w:tblCellMar>
      </w:tblPr>
      <w:tblGrid>
        <w:gridCol w:w="8910"/>
      </w:tblGrid>
      <w:tr>
        <w:trPr/>
        <w:tc>
          <w:tcPr>
            <w:tcW w:w="8910" w:type="dxa"/>
            <w:tcBorders/>
            <w:vAlign w:val="center"/>
          </w:tcPr>
          <w:p>
            <w:pPr>
              <w:pStyle w:val="Normal"/>
              <w:rPr>
                <w:rFonts w:ascii="Arial Unicode MS" w:hAnsi="Arial Unicode MS" w:eastAsia="Arial Unicode MS" w:cs="Arial Unicode MS"/>
              </w:rPr>
            </w:pPr>
            <w:r>
              <w:rPr>
                <w:rFonts w:cs="Arial" w:ascii="Arial" w:hAnsi="Arial"/>
                <w:b/>
                <w:bCs/>
                <w:sz w:val="27"/>
                <w:szCs w:val="27"/>
              </w:rPr>
              <w:t>The gas factor</w:t>
            </w:r>
            <w:r>
              <w:rPr/>
              <w:br/>
            </w:r>
            <w:r>
              <w:rPr>
                <w:rFonts w:cs="Arial" w:ascii="Arial" w:hAnsi="Arial"/>
                <w:sz w:val="17"/>
                <w:szCs w:val="17"/>
              </w:rPr>
              <w:t>Published: April 30 2001 14:17GMT | Last Updated: May 1 2001 15:41GMT</w:t>
            </w:r>
          </w:p>
        </w:tc>
      </w:tr>
      <w:tr>
        <w:trPr/>
        <w:tc>
          <w:tcPr>
            <w:tcW w:w="8910" w:type="dxa"/>
            <w:tcBorders/>
            <w:vAlign w:val="center"/>
          </w:tcPr>
          <w:p>
            <w:pPr>
              <w:pStyle w:val="Normal"/>
              <w:rPr>
                <w:rFonts w:ascii="Arial" w:hAnsi="Arial" w:cs="Arial"/>
                <w:color w:val="000000"/>
                <w:sz w:val="18"/>
                <w:szCs w:val="18"/>
              </w:rPr>
            </w:pPr>
            <w:r>
              <w:rPr/>
              <w:drawing>
                <wp:anchor behindDoc="0" distT="0" distB="0" distL="0" distR="0" simplePos="0" locked="0" layoutInCell="1" allowOverlap="1" relativeHeight="2">
                  <wp:simplePos x="0" y="0"/>
                  <wp:positionH relativeFrom="column">
                    <wp:posOffset>-1143000</wp:posOffset>
                  </wp:positionH>
                  <wp:positionV relativeFrom="line">
                    <wp:posOffset>-1439545</wp:posOffset>
                  </wp:positionV>
                  <wp:extent cx="1238250" cy="1238250"/>
                  <wp:effectExtent l="0" t="0" r="0" b="0"/>
                  <wp:wrapSquare wrapText="bothSides"/>
                  <wp:docPr id="1" name="AppLogic+FTBlobServ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ogic+FTBlobServer" descr="" title=""/>
                          <pic:cNvPicPr>
                            <a:picLocks noChangeAspect="1" noChangeArrowheads="1"/>
                          </pic:cNvPicPr>
                        </pic:nvPicPr>
                        <pic:blipFill>
                          <a:blip r:embed="rId2"/>
                          <a:srcRect l="-29" t="-29" r="-29" b="-29"/>
                          <a:stretch>
                            <a:fillRect/>
                          </a:stretch>
                        </pic:blipFill>
                        <pic:spPr bwMode="auto">
                          <a:xfrm>
                            <a:off x="0" y="0"/>
                            <a:ext cx="1238250" cy="1238250"/>
                          </a:xfrm>
                          <a:prstGeom prst="rect">
                            <a:avLst/>
                          </a:prstGeom>
                          <a:noFill/>
                        </pic:spPr>
                      </pic:pic>
                    </a:graphicData>
                  </a:graphic>
                </wp:anchor>
              </w:drawing>
            </w:r>
            <w:r>
              <w:rPr/>
              <w:br/>
            </w:r>
          </w:p>
          <w:p>
            <w:pPr>
              <w:pStyle w:val="NormalWeb"/>
              <w:rPr>
                <w:rFonts w:ascii="Arial" w:hAnsi="Arial" w:cs="Arial"/>
                <w:color w:val="000000"/>
                <w:sz w:val="18"/>
                <w:szCs w:val="18"/>
              </w:rPr>
            </w:pPr>
            <w:r>
              <w:rPr>
                <w:rFonts w:cs="Arial" w:ascii="Arial" w:hAnsi="Arial"/>
                <w:color w:val="000000"/>
                <w:sz w:val="18"/>
                <w:szCs w:val="18"/>
              </w:rPr>
              <w:t xml:space="preserve">A year ago, natural gas demand outstripped supply in California and helped to fuel price spikes. The culprits were rising demand for gas for electric generation, an unexpected stretch of cool weather that boosted space heating demands, and reduced capacity due to a gas pipeline explosion in New Mexico. </w:t>
            </w:r>
          </w:p>
          <w:p>
            <w:pPr>
              <w:pStyle w:val="NormalWeb"/>
              <w:rPr>
                <w:rFonts w:ascii="Arial" w:hAnsi="Arial" w:cs="Arial"/>
                <w:color w:val="000000"/>
                <w:sz w:val="18"/>
                <w:szCs w:val="18"/>
              </w:rPr>
            </w:pPr>
            <w:r>
              <w:rPr>
                <w:rFonts w:cs="Arial" w:ascii="Arial" w:hAnsi="Arial"/>
                <w:color w:val="000000"/>
                <w:sz w:val="18"/>
                <w:szCs w:val="18"/>
              </w:rPr>
              <w:t xml:space="preserve">Gas supply into the state this summer should be adequate, although low water levels behind dams in the Pacific Northwest could place more demand on gas-fired generation as hydroelectric generation approaches what could be historic lows. </w:t>
            </w:r>
          </w:p>
          <w:tbl>
            <w:tblPr>
              <w:tblpPr w:vertAnchor="text" w:tblpYSpec="center" w:horzAnchor="text" w:tblpXSpec="right"/>
              <w:tblW w:w="5000" w:type="pct"/>
              <w:jc w:val="start"/>
              <w:tblInd w:w="45" w:type="dxa"/>
              <w:tblLayout w:type="fixed"/>
              <w:tblCellMar>
                <w:top w:w="45" w:type="dxa"/>
                <w:start w:w="45" w:type="dxa"/>
                <w:bottom w:w="45" w:type="dxa"/>
                <w:end w:w="45" w:type="dxa"/>
              </w:tblCellMar>
            </w:tblPr>
            <w:tblGrid>
              <w:gridCol w:w="2250"/>
            </w:tblGrid>
            <w:tr>
              <w:trPr/>
              <w:tc>
                <w:tcPr>
                  <w:tcW w:w="2250" w:type="dxa"/>
                  <w:tcBorders/>
                  <w:shd w:fill="FFFCCC" w:val="clear"/>
                  <w:vAlign w:val="center"/>
                </w:tcPr>
                <w:p>
                  <w:pPr>
                    <w:pStyle w:val="Normal"/>
                    <w:rPr>
                      <w:rFonts w:ascii="Arial" w:hAnsi="Arial" w:eastAsia="Arial Unicode MS" w:cs="Arial"/>
                      <w:color w:val="000000"/>
                      <w:sz w:val="18"/>
                      <w:szCs w:val="18"/>
                    </w:rPr>
                  </w:pPr>
                  <w:r>
                    <w:rPr>
                      <w:rFonts w:cs="Arial" w:ascii="Arial" w:hAnsi="Arial"/>
                      <w:b/>
                      <w:bCs/>
                      <w:color w:val="000000"/>
                      <w:sz w:val="18"/>
                      <w:szCs w:val="18"/>
                    </w:rPr>
                    <w:t>"Hydro conditions could be the lowest ever. That's just horrendous"</w:t>
                  </w:r>
                  <w:r>
                    <w:rPr>
                      <w:rFonts w:cs="Arial" w:ascii="Arial" w:hAnsi="Arial"/>
                      <w:color w:val="000000"/>
                      <w:sz w:val="18"/>
                      <w:szCs w:val="18"/>
                    </w:rPr>
                    <w:br w:type="textWrapping" w:clear="all"/>
                  </w:r>
                </w:p>
              </w:tc>
            </w:tr>
            <w:tr>
              <w:trPr/>
              <w:tc>
                <w:tcPr>
                  <w:tcW w:w="2250" w:type="dxa"/>
                  <w:tcBorders/>
                  <w:shd w:fill="FFCC99" w:val="clear"/>
                  <w:vAlign w:val="center"/>
                </w:tcPr>
                <w:p>
                  <w:pPr>
                    <w:pStyle w:val="Normal"/>
                    <w:rPr>
                      <w:rFonts w:ascii="Arial" w:hAnsi="Arial" w:eastAsia="Arial Unicode MS" w:cs="Arial"/>
                      <w:color w:val="000000"/>
                      <w:sz w:val="18"/>
                      <w:szCs w:val="18"/>
                    </w:rPr>
                  </w:pPr>
                  <w:r>
                    <w:rPr>
                      <w:rFonts w:cs="Arial" w:ascii="Arial" w:hAnsi="Arial"/>
                      <w:b/>
                      <w:bCs/>
                      <w:color w:val="000000"/>
                      <w:sz w:val="18"/>
                      <w:szCs w:val="18"/>
                    </w:rPr>
                    <w:t>Chris Seiple, RDI Consulting</w:t>
                  </w:r>
                </w:p>
              </w:tc>
            </w:tr>
          </w:tbl>
          <w:p>
            <w:pPr>
              <w:pStyle w:val="NormalWeb"/>
              <w:rPr>
                <w:rFonts w:ascii="Arial" w:hAnsi="Arial" w:cs="Arial"/>
                <w:color w:val="000000"/>
                <w:sz w:val="18"/>
                <w:szCs w:val="18"/>
              </w:rPr>
            </w:pPr>
            <w:r/>
            <w:r>
              <w:rPr>
                <w:rFonts w:cs="Arial" w:ascii="Arial" w:hAnsi="Arial"/>
                <w:color w:val="000000"/>
                <w:sz w:val="18"/>
                <w:szCs w:val="18"/>
              </w:rPr>
              <w:t xml:space="preserve">"Hydro conditions could be the lowest ever. That's just horrendous," said Chris Seiple, director of supply side consulting with RDI Consulting. </w:t>
            </w:r>
          </w:p>
          <w:p>
            <w:pPr>
              <w:pStyle w:val="NormalWeb"/>
              <w:rPr>
                <w:rFonts w:ascii="Arial" w:hAnsi="Arial" w:cs="Arial"/>
                <w:color w:val="000000"/>
                <w:sz w:val="18"/>
                <w:szCs w:val="18"/>
              </w:rPr>
            </w:pPr>
            <w:r>
              <w:rPr>
                <w:rFonts w:cs="Arial" w:ascii="Arial" w:hAnsi="Arial"/>
                <w:color w:val="000000"/>
                <w:sz w:val="18"/>
                <w:szCs w:val="18"/>
              </w:rPr>
              <w:t xml:space="preserve">The Western Systems Coordinating Council (WSCC) summer assessment said hydroelectric generation across the West could be around 53 per cent of normal. The dry weather, combined with low water levels "significantly reduces and potentially eliminates" the Northwest's energy export capability, the WSCC said. This will exacerbate electricity shortages forecast for parts of California. </w:t>
            </w:r>
          </w:p>
          <w:p>
            <w:pPr>
              <w:pStyle w:val="NormalWeb"/>
              <w:rPr>
                <w:rFonts w:ascii="Arial" w:hAnsi="Arial" w:cs="Arial"/>
                <w:color w:val="000000"/>
                <w:sz w:val="18"/>
                <w:szCs w:val="18"/>
              </w:rPr>
            </w:pPr>
            <w:r>
              <w:rPr>
                <w:rFonts w:cs="Arial" w:ascii="Arial" w:hAnsi="Arial"/>
                <w:color w:val="000000"/>
                <w:sz w:val="18"/>
                <w:szCs w:val="18"/>
              </w:rPr>
              <w:t xml:space="preserve">Because the low hydro puts more pressure on gas-fired generation, power plants are banging into upper limits for NOx emissions. This already is forcing some into non-compliance with environmental rules while driving others into a market for expensive or even non-existent emission credits. </w:t>
            </w:r>
          </w:p>
          <w:p>
            <w:pPr>
              <w:pStyle w:val="NormalWeb"/>
              <w:rPr>
                <w:rFonts w:ascii="Arial" w:hAnsi="Arial" w:cs="Arial"/>
                <w:color w:val="000000"/>
                <w:sz w:val="18"/>
                <w:szCs w:val="18"/>
              </w:rPr>
            </w:pPr>
            <w:r>
              <w:rPr>
                <w:rFonts w:cs="Arial" w:ascii="Arial" w:hAnsi="Arial"/>
                <w:color w:val="000000"/>
                <w:sz w:val="18"/>
                <w:szCs w:val="18"/>
              </w:rPr>
              <w:t xml:space="preserve">"This is where it gets interesting," said Robert Burns, senior attorney with the National Regulatory Research Institute at Ohio State University. That's because the California Energy Commission has a mandate to treat the entire state as a non-attainment area of NOx emissions. That means generating plants must be as clean as possible, an expensive mandate at a time when emission-free hydro power is at a low ebb. </w:t>
            </w:r>
          </w:p>
          <w:p>
            <w:pPr>
              <w:pStyle w:val="NormalWeb"/>
              <w:rPr>
                <w:rFonts w:ascii="Arial" w:hAnsi="Arial" w:cs="Arial"/>
                <w:color w:val="000000"/>
                <w:sz w:val="18"/>
                <w:szCs w:val="18"/>
              </w:rPr>
            </w:pPr>
            <w:r>
              <w:rPr>
                <w:rFonts w:cs="Arial" w:ascii="Arial" w:hAnsi="Arial"/>
                <w:color w:val="000000"/>
                <w:sz w:val="18"/>
                <w:szCs w:val="18"/>
              </w:rPr>
              <w:t xml:space="preserve">For example, Duke Energy's South Bay Unit 4 facility was built as a cycling facility, said Tom Williams, a Duke Energy spokesman. He called it Duke Energy's dirtiest and least efficient in the state. But the 12,500 Btu heat rated unit was expected to run no more than 25 days a year. "We're running it flat out now," Williams said. </w:t>
            </w:r>
          </w:p>
          <w:p>
            <w:pPr>
              <w:pStyle w:val="NormalWeb"/>
              <w:rPr>
                <w:rFonts w:ascii="Arial" w:hAnsi="Arial" w:cs="Arial"/>
                <w:color w:val="000000"/>
                <w:sz w:val="18"/>
                <w:szCs w:val="18"/>
              </w:rPr>
            </w:pPr>
            <w:r>
              <w:rPr>
                <w:rFonts w:cs="Arial" w:ascii="Arial" w:hAnsi="Arial"/>
                <w:color w:val="000000"/>
                <w:sz w:val="18"/>
                <w:szCs w:val="18"/>
              </w:rPr>
              <w:t xml:space="preserve">South Bay had a 1,000 ton a year cap on NOx emissions, which has been tightened by air quality management regulators to 359 tons. Last year, Williams, said the plant had NOx emissions of 989 tons and had to go into the market to buy emission credits to continue operating. </w:t>
            </w:r>
          </w:p>
          <w:p>
            <w:pPr>
              <w:pStyle w:val="NormalWeb"/>
              <w:rPr>
                <w:rFonts w:ascii="Arial" w:hAnsi="Arial" w:cs="Arial"/>
                <w:color w:val="000000"/>
                <w:sz w:val="18"/>
                <w:szCs w:val="18"/>
              </w:rPr>
            </w:pPr>
            <w:r>
              <w:rPr>
                <w:rFonts w:cs="Arial" w:ascii="Arial" w:hAnsi="Arial"/>
                <w:color w:val="000000"/>
                <w:sz w:val="18"/>
                <w:szCs w:val="18"/>
              </w:rPr>
              <w:t xml:space="preserve">At a cost of some $20m, Duke Energy installed selective catalytic reduction (SCR) technology on three of South Bay's four units, lowering their emissions to 10 parts per million. Still running under the old regime, inefficient unit 4 has a NOx emissions rating of 125 ppm, Williams said. That unit is slated for SCR equipment, too, as soon as the ISO agrees the unit can be taken off line. </w:t>
            </w:r>
          </w:p>
          <w:p>
            <w:pPr>
              <w:pStyle w:val="NormalWeb"/>
              <w:rPr>
                <w:rFonts w:ascii="Arial" w:hAnsi="Arial" w:cs="Arial"/>
                <w:color w:val="000000"/>
                <w:sz w:val="18"/>
                <w:szCs w:val="18"/>
              </w:rPr>
            </w:pPr>
            <w:r>
              <w:rPr>
                <w:rFonts w:cs="Arial" w:ascii="Arial" w:hAnsi="Arial"/>
                <w:color w:val="000000"/>
                <w:sz w:val="18"/>
                <w:szCs w:val="18"/>
              </w:rPr>
              <w:t xml:space="preserve">A February 15 article in Public Utilities Fortnightly magazine said that as reliance on less efficient units rose during 2000, so did demand for NOx credits. The result was a sharp rise in the cost of emission credits, from $6 to $40 a pound. This pushed the emission part of the cost of electricity production alone to around $40/MWh for a combined unit and $80/MWh for a combustion turbine. </w:t>
            </w:r>
          </w:p>
          <w:p>
            <w:pPr>
              <w:pStyle w:val="NormalWeb"/>
              <w:rPr/>
            </w:pPr>
            <w:r>
              <w:rPr>
                <w:rFonts w:cs="Arial" w:ascii="Arial" w:hAnsi="Arial"/>
                <w:b/>
                <w:bCs/>
                <w:color w:val="000000"/>
                <w:sz w:val="18"/>
                <w:szCs w:val="18"/>
              </w:rPr>
              <w:t>Reallocating responsibility</w:t>
            </w:r>
            <w:r>
              <w:rPr>
                <w:rFonts w:cs="Arial" w:ascii="Arial" w:hAnsi="Arial"/>
                <w:color w:val="000000"/>
                <w:sz w:val="18"/>
                <w:szCs w:val="18"/>
              </w:rPr>
              <w:t xml:space="preserve"> </w:t>
            </w:r>
          </w:p>
          <w:p>
            <w:pPr>
              <w:pStyle w:val="NormalWeb"/>
              <w:rPr>
                <w:rFonts w:ascii="Arial" w:hAnsi="Arial" w:cs="Arial"/>
                <w:color w:val="000000"/>
                <w:sz w:val="18"/>
                <w:szCs w:val="18"/>
              </w:rPr>
            </w:pPr>
            <w:r>
              <w:rPr>
                <w:rFonts w:cs="Arial" w:ascii="Arial" w:hAnsi="Arial"/>
                <w:color w:val="000000"/>
                <w:sz w:val="18"/>
                <w:szCs w:val="18"/>
              </w:rPr>
              <w:t xml:space="preserve">Pressure is on air quality managers to rethink how the responsibility for clean air is divided up to take away some of the focus on electric power plants. </w:t>
            </w:r>
          </w:p>
          <w:p>
            <w:pPr>
              <w:pStyle w:val="NormalWeb"/>
              <w:rPr>
                <w:rFonts w:ascii="Arial" w:hAnsi="Arial" w:cs="Arial"/>
                <w:color w:val="000000"/>
                <w:sz w:val="18"/>
                <w:szCs w:val="18"/>
              </w:rPr>
            </w:pPr>
            <w:r>
              <w:rPr>
                <w:rFonts w:cs="Arial" w:ascii="Arial" w:hAnsi="Arial"/>
                <w:color w:val="000000"/>
                <w:sz w:val="18"/>
                <w:szCs w:val="18"/>
              </w:rPr>
              <w:t xml:space="preserve">"In the Southern California air basin, electric generators account for less than 2 per cent of the emissions in the basin, but have 40 per cent of the responsibility for compliance," said Ashley Brown, executive director of the Harvard Electric Policy Group. Last summer's scramble for emission credits played "not an insignificant role in raising prices" to unprecedented levels, Brown said. "It was a price and availability burden." </w:t>
            </w:r>
          </w:p>
          <w:p>
            <w:pPr>
              <w:pStyle w:val="NormalWeb"/>
              <w:rPr>
                <w:rFonts w:ascii="Arial" w:hAnsi="Arial" w:cs="Arial"/>
                <w:color w:val="000000"/>
                <w:sz w:val="18"/>
                <w:szCs w:val="18"/>
              </w:rPr>
            </w:pPr>
            <w:r>
              <w:rPr>
                <w:rFonts w:cs="Arial" w:ascii="Arial" w:hAnsi="Arial"/>
                <w:color w:val="000000"/>
                <w:sz w:val="18"/>
                <w:szCs w:val="18"/>
              </w:rPr>
              <w:t xml:space="preserve">Gas generators also had a supply problem last summer. That has led to an investigation by the Federal Energy Regulatory Commission into alleged market manipulation by El Paso Corp. The natural gas price basis between San Juan and Topock "was tremendous" in 2000, said Mike Farina, a consultant with RDI Consulting. "That has been the site of all this high price." </w:t>
            </w:r>
          </w:p>
          <w:p>
            <w:pPr>
              <w:pStyle w:val="NormalWeb"/>
              <w:rPr/>
            </w:pPr>
            <w:r>
              <w:rPr>
                <w:rFonts w:cs="Arial" w:ascii="Arial" w:hAnsi="Arial"/>
                <w:b/>
                <w:bCs/>
                <w:color w:val="000000"/>
                <w:sz w:val="18"/>
                <w:szCs w:val="18"/>
              </w:rPr>
              <w:t>A premium path</w:t>
            </w:r>
            <w:r>
              <w:rPr>
                <w:rFonts w:cs="Arial" w:ascii="Arial" w:hAnsi="Arial"/>
                <w:color w:val="000000"/>
                <w:sz w:val="18"/>
                <w:szCs w:val="18"/>
              </w:rPr>
              <w:t xml:space="preserve"> </w:t>
            </w:r>
          </w:p>
          <w:p>
            <w:pPr>
              <w:pStyle w:val="NormalWeb"/>
              <w:rPr>
                <w:rFonts w:ascii="Arial" w:hAnsi="Arial" w:cs="Arial"/>
                <w:color w:val="000000"/>
                <w:sz w:val="18"/>
                <w:szCs w:val="18"/>
              </w:rPr>
            </w:pPr>
            <w:r>
              <w:rPr>
                <w:rFonts w:cs="Arial" w:ascii="Arial" w:hAnsi="Arial"/>
                <w:color w:val="000000"/>
                <w:sz w:val="18"/>
                <w:szCs w:val="18"/>
              </w:rPr>
              <w:t xml:space="preserve">Part of the state's trouble was it faced high demand for electric generation at the same time cold weather pushed up demand for gas for space heating needs. The coincident peak demand helped prices spike during the autumn. </w:t>
            </w:r>
          </w:p>
          <w:p>
            <w:pPr>
              <w:pStyle w:val="NormalWeb"/>
              <w:rPr>
                <w:rFonts w:ascii="Arial" w:hAnsi="Arial" w:cs="Arial"/>
                <w:color w:val="000000"/>
                <w:sz w:val="18"/>
                <w:szCs w:val="18"/>
              </w:rPr>
            </w:pPr>
            <w:r>
              <w:rPr>
                <w:rFonts w:cs="Arial" w:ascii="Arial" w:hAnsi="Arial"/>
                <w:color w:val="000000"/>
                <w:sz w:val="18"/>
                <w:szCs w:val="18"/>
              </w:rPr>
              <w:t xml:space="preserve">Some relief from high gas prices may come through the expected 135m cfd expansion of Kern River Gas Transmission's gas pipeline from the Rocky Mountains to California. In early April the $81m project won fast-track approval from the Federal Energy Regulatory Commission. If the expansion becomes available in mid-July, as expected, it could ease price pressures in the state as lower-cost Rocky Mountain gas makes its way West. </w:t>
            </w:r>
          </w:p>
          <w:p>
            <w:pPr>
              <w:pStyle w:val="NormalWeb"/>
              <w:rPr>
                <w:rFonts w:ascii="Arial" w:hAnsi="Arial" w:cs="Arial"/>
                <w:color w:val="000000"/>
                <w:sz w:val="18"/>
                <w:szCs w:val="18"/>
              </w:rPr>
            </w:pPr>
            <w:r>
              <w:rPr>
                <w:rFonts w:cs="Arial" w:ascii="Arial" w:hAnsi="Arial"/>
                <w:color w:val="000000"/>
                <w:sz w:val="18"/>
                <w:szCs w:val="18"/>
              </w:rPr>
              <w:t xml:space="preserve">Rocky Mountain gas prices are depressed and there is a lot of supply and not much takeaway capacity," said Farina. "Kern River is a premium path and the most economic choice." </w:t>
            </w:r>
          </w:p>
          <w:p>
            <w:pPr>
              <w:pStyle w:val="NormalWeb"/>
              <w:rPr>
                <w:rFonts w:ascii="Arial" w:hAnsi="Arial" w:cs="Arial"/>
                <w:color w:val="000000"/>
                <w:sz w:val="18"/>
                <w:szCs w:val="18"/>
              </w:rPr>
            </w:pPr>
            <w:r>
              <w:rPr>
                <w:rFonts w:cs="Arial" w:ascii="Arial" w:hAnsi="Arial"/>
                <w:color w:val="000000"/>
                <w:sz w:val="18"/>
                <w:szCs w:val="18"/>
              </w:rPr>
              <w:t xml:space="preserve">California currently has about 7.5 bcf of gas import capability. Even with gas-fired electric generation running flat out, Farina said it would be hard to see electric demand rising above 4 bcf, "even on hot days." He also expects natural gas prices to soften somewhat to the $5/mcf range and remaining flat through the summer. </w:t>
            </w:r>
          </w:p>
          <w:p>
            <w:pPr>
              <w:pStyle w:val="NormalWeb"/>
              <w:rPr>
                <w:rFonts w:ascii="Arial" w:hAnsi="Arial" w:cs="Arial"/>
                <w:color w:val="000000"/>
                <w:sz w:val="18"/>
                <w:szCs w:val="18"/>
              </w:rPr>
            </w:pPr>
            <w:r>
              <w:rPr>
                <w:rFonts w:cs="Arial" w:ascii="Arial" w:hAnsi="Arial"/>
                <w:color w:val="000000"/>
                <w:sz w:val="18"/>
                <w:szCs w:val="18"/>
              </w:rPr>
              <w:t xml:space="preserve">One question, however, is whether or not the higher volumes of natural gas being transported via the Kern River pipeline will hit a bottleneck at Wheeler Ridge, Ca, a connection point from which radiates a series of more localized distribution pipelines. </w:t>
            </w:r>
          </w:p>
          <w:p>
            <w:pPr>
              <w:pStyle w:val="NormalWeb"/>
              <w:rPr>
                <w:rFonts w:ascii="Arial" w:hAnsi="Arial" w:cs="Arial"/>
                <w:color w:val="000000"/>
                <w:sz w:val="18"/>
                <w:szCs w:val="18"/>
              </w:rPr>
            </w:pPr>
            <w:r>
              <w:rPr>
                <w:rFonts w:cs="Arial" w:ascii="Arial" w:hAnsi="Arial"/>
                <w:color w:val="000000"/>
                <w:sz w:val="18"/>
                <w:szCs w:val="18"/>
              </w:rPr>
              <w:t>RDI Consulting notes several other factors to consider in examining the California market.</w:t>
            </w:r>
          </w:p>
          <w:p>
            <w:pPr>
              <w:pStyle w:val="Normal"/>
              <w:numPr>
                <w:ilvl w:val="0"/>
                <w:numId w:val="1"/>
              </w:numPr>
              <w:spacing w:before="0" w:after="0"/>
              <w:rPr>
                <w:rFonts w:ascii="Arial" w:hAnsi="Arial" w:cs="Arial"/>
                <w:color w:val="000000"/>
                <w:sz w:val="18"/>
                <w:szCs w:val="18"/>
              </w:rPr>
            </w:pPr>
            <w:r>
              <w:rPr>
                <w:rFonts w:cs="Arial" w:ascii="Arial" w:hAnsi="Arial"/>
                <w:color w:val="000000"/>
                <w:sz w:val="18"/>
                <w:szCs w:val="18"/>
              </w:rPr>
              <w:t>Supplies moving into Northern California from the Pacific Northwest must flow through the interconnection at Malin, Oregon between PGT-NW and Pacific Gas and Electric's northern gas transmission backbone pipeline system. Capacity at the Malin compressor station is reported as 1,870 mcf/d. However, PGT-NW has said that the maximum delivery capability is 2,000 mcf/d.</w:t>
            </w:r>
          </w:p>
          <w:p>
            <w:pPr>
              <w:pStyle w:val="Normal"/>
              <w:numPr>
                <w:ilvl w:val="0"/>
                <w:numId w:val="1"/>
              </w:numPr>
              <w:spacing w:before="0" w:after="0"/>
              <w:rPr>
                <w:rFonts w:ascii="Arial" w:hAnsi="Arial" w:cs="Arial"/>
                <w:color w:val="000000"/>
                <w:sz w:val="18"/>
                <w:szCs w:val="18"/>
              </w:rPr>
            </w:pPr>
            <w:r>
              <w:rPr>
                <w:rFonts w:cs="Arial" w:ascii="Arial" w:hAnsi="Arial"/>
                <w:color w:val="000000"/>
                <w:sz w:val="18"/>
                <w:szCs w:val="18"/>
              </w:rPr>
              <w:t>The southern California gas transportation market is defined by large interconnects between the California intrastate pipelines and the western interstate pipelines at the California/Arizona border. The total import capacity at the border is estimated at 5.5 bcf/d. Including the capacity at Malin, total import capacity into California is estimated to be 7.393 bcf/d.</w:t>
            </w:r>
          </w:p>
          <w:p>
            <w:pPr>
              <w:pStyle w:val="Normal"/>
              <w:numPr>
                <w:ilvl w:val="0"/>
                <w:numId w:val="1"/>
              </w:numPr>
              <w:spacing w:before="0" w:after="0"/>
              <w:rPr>
                <w:rFonts w:ascii="Arial" w:hAnsi="Arial" w:cs="Arial"/>
                <w:color w:val="000000"/>
                <w:sz w:val="18"/>
                <w:szCs w:val="18"/>
              </w:rPr>
            </w:pPr>
            <w:r>
              <w:rPr>
                <w:rFonts w:cs="Arial" w:ascii="Arial" w:hAnsi="Arial"/>
                <w:color w:val="000000"/>
                <w:sz w:val="18"/>
                <w:szCs w:val="18"/>
              </w:rPr>
              <w:t>California had native natural gas production of roughly 1,000 mcf/d in 1999. However, it appears that some 750 mcf/d flows to end-user markets. The remainder is consumed near the wellhead as lease/plant fuel and in other industrial applications.</w:t>
            </w:r>
          </w:p>
          <w:p>
            <w:pPr>
              <w:pStyle w:val="Normal"/>
              <w:numPr>
                <w:ilvl w:val="0"/>
                <w:numId w:val="1"/>
              </w:numPr>
              <w:spacing w:before="0" w:after="280"/>
              <w:rPr>
                <w:rFonts w:ascii="Arial" w:hAnsi="Arial" w:cs="Arial"/>
                <w:color w:val="000000"/>
                <w:sz w:val="18"/>
                <w:szCs w:val="18"/>
              </w:rPr>
            </w:pPr>
            <w:r>
              <w:rPr>
                <w:rFonts w:cs="Arial" w:ascii="Arial" w:hAnsi="Arial"/>
                <w:color w:val="000000"/>
                <w:sz w:val="18"/>
                <w:szCs w:val="18"/>
              </w:rPr>
              <w:t>The 300 Line of PG&amp;E is estimated to have a capacity of about 1,200 mcf/d. This corridor from the southern California border to the PG&amp;E Citygate is known as the "Baja path".</w:t>
            </w:r>
          </w:p>
          <w:p>
            <w:pPr>
              <w:pStyle w:val="NormalWeb"/>
              <w:spacing w:before="0" w:after="0"/>
              <w:rPr>
                <w:rFonts w:ascii="Arial" w:hAnsi="Arial" w:cs="Arial"/>
                <w:color w:val="000000"/>
                <w:sz w:val="18"/>
                <w:szCs w:val="18"/>
              </w:rPr>
            </w:pPr>
            <w:r>
              <w:rPr>
                <w:rFonts w:cs="Arial" w:ascii="Arial" w:hAnsi="Arial"/>
                <w:color w:val="000000"/>
                <w:sz w:val="18"/>
                <w:szCs w:val="18"/>
              </w:rPr>
              <w:t xml:space="preserve">Average daily demand in 1999 in California was 5,632 mcf/d, and Southern California consumption is estimated to be 3,512 MMcfd. The working storage capability in California is 228 bcf, and peak day deliverability is estimated to be about 6 bcf/d. This includes 200 mcf/d and 14 bcf of merchant storage capacity at the Wild Goose facility in northern California. </w:t>
            </w:r>
          </w:p>
          <w:p>
            <w:pPr>
              <w:pStyle w:val="NormalWeb"/>
              <w:spacing w:before="0" w:after="0"/>
              <w:rPr>
                <w:rFonts w:ascii="Arial" w:hAnsi="Arial" w:cs="Arial"/>
                <w:color w:val="000000"/>
                <w:sz w:val="18"/>
                <w:szCs w:val="18"/>
              </w:rPr>
            </w:pPr>
            <w:r>
              <w:rPr>
                <w:rFonts w:cs="Arial" w:ascii="Arial" w:hAnsi="Arial"/>
                <w:color w:val="000000"/>
                <w:sz w:val="18"/>
                <w:szCs w:val="18"/>
              </w:rPr>
            </w:r>
          </w:p>
          <w:p>
            <w:pPr>
              <w:pStyle w:val="NormalWeb"/>
              <w:spacing w:before="0" w:after="0"/>
              <w:rPr>
                <w:rFonts w:ascii="Arial" w:hAnsi="Arial" w:cs="Arial"/>
                <w:color w:val="000000"/>
                <w:sz w:val="18"/>
                <w:szCs w:val="18"/>
              </w:rPr>
            </w:pPr>
            <w:r>
              <w:rPr>
                <w:rFonts w:cs="Arial" w:ascii="Arial" w:hAnsi="Arial"/>
                <w:color w:val="000000"/>
                <w:sz w:val="18"/>
                <w:szCs w:val="18"/>
              </w:rPr>
              <w:t xml:space="preserve">Another merchant Storage facility called Lodi is in the planning stages for a site in central California. </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2001-05-02T14:23:00Z</dcterms:created>
  <dc:creator>Sabine F. Schnittger</dc:creator>
  <dc:description/>
  <dc:language>en-CA</dc:language>
  <cp:lastModifiedBy>Sabine F. Schnittger</cp:lastModifiedBy>
  <dcterms:modified xsi:type="dcterms:W3CDTF">2001-05-03T11:44:00Z</dcterms:modified>
  <cp:revision>3</cp:revision>
  <dc:subject/>
  <dc:title>The gas factorPublished: April 30 2001 14:17GMT | Last Updated: May 1 2001 15:41GMT</dc:title>
</cp:coreProperties>
</file>