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numbering.xml" ContentType="application/vnd.openxmlformats-officedocument.wordprocessingml.numbering+xml"/>
  <Override PartName="/word/footer21.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2249805" cy="1095375"/>
            <wp:effectExtent l="0" t="0" r="0" b="0"/>
            <wp:docPr id="1" name="F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ogo" descr="" title=""/>
                    <pic:cNvPicPr>
                      <a:picLocks noChangeAspect="1" noChangeArrowheads="1"/>
                    </pic:cNvPicPr>
                  </pic:nvPicPr>
                  <pic:blipFill>
                    <a:blip r:embed="rId2"/>
                    <a:srcRect l="-20" t="-41" r="-20" b="-41"/>
                    <a:stretch>
                      <a:fillRect/>
                    </a:stretch>
                  </pic:blipFill>
                  <pic:spPr bwMode="auto">
                    <a:xfrm>
                      <a:off x="0" y="0"/>
                      <a:ext cx="2249805" cy="1095375"/>
                    </a:xfrm>
                    <a:prstGeom prst="rect">
                      <a:avLst/>
                    </a:prstGeom>
                    <a:noFill/>
                  </pic:spPr>
                </pic:pic>
              </a:graphicData>
            </a:graphic>
          </wp:inline>
        </w:drawing>
      </w:r>
      <w:bookmarkStart w:id="0" w:name="_Ref506887774"/>
      <w:bookmarkEnd w:id="0"/>
    </w:p>
    <w:p>
      <w:pPr>
        <w:pStyle w:val="Heading"/>
        <w:rPr/>
      </w:pPr>
      <w:r>
        <w:rPr/>
      </w:r>
    </w:p>
    <w:p>
      <w:pPr>
        <w:pStyle w:val="Heading"/>
        <w:numPr>
          <w:ilvl w:val="0"/>
          <w:numId w:val="0"/>
        </w:numPr>
        <w:suppressAutoHyphens w:val="false"/>
        <w:outlineLvl w:val="0"/>
        <w:rPr>
          <w:rFonts w:ascii="Calisto MT;Century Schoolbook" w:hAnsi="Calisto MT;Century Schoolbook" w:cs="Calisto MT;Century Schoolbook"/>
          <w:kern w:val="2"/>
          <w:sz w:val="44"/>
          <w:lang w:val="en-GB" w:eastAsia="en-CA"/>
        </w:rPr>
      </w:pPr>
      <w:r>
        <w:rPr>
          <w:rFonts w:cs="Calisto MT;Century Schoolbook" w:ascii="Calisto MT;Century Schoolbook" w:hAnsi="Calisto MT;Century Schoolbook"/>
          <w:kern w:val="2"/>
          <w:sz w:val="44"/>
          <w:lang w:val="en-GB" w:eastAsia="en-CA"/>
        </w:rPr>
      </w:r>
    </w:p>
    <w:p>
      <w:pPr>
        <w:pStyle w:val="Heading"/>
        <w:numPr>
          <w:ilvl w:val="0"/>
          <w:numId w:val="0"/>
        </w:numPr>
        <w:suppressAutoHyphens w:val="false"/>
        <w:outlineLvl w:val="0"/>
        <w:rPr>
          <w:rFonts w:ascii="Calisto MT;Century Schoolbook" w:hAnsi="Calisto MT;Century Schoolbook" w:cs="Calisto MT;Century Schoolbook"/>
          <w:kern w:val="2"/>
          <w:sz w:val="36"/>
          <w:lang w:val="en-GB" w:eastAsia="en-CA"/>
        </w:rPr>
      </w:pPr>
      <w:r>
        <w:rPr>
          <w:rFonts w:cs="Calisto MT;Century Schoolbook" w:ascii="Calisto MT;Century Schoolbook" w:hAnsi="Calisto MT;Century Schoolbook"/>
          <w:kern w:val="2"/>
          <w:sz w:val="36"/>
          <w:lang w:val="en-GB" w:eastAsia="en-CA"/>
        </w:rPr>
        <w:t>Moving from RTOs to Effective Power Markets</w:t>
      </w:r>
    </w:p>
    <w:p>
      <w:pPr>
        <w:pStyle w:val="Subtitle"/>
        <w:numPr>
          <w:ilvl w:val="0"/>
          <w:numId w:val="0"/>
        </w:numPr>
        <w:suppressAutoHyphens w:val="false"/>
        <w:spacing w:before="120" w:after="240"/>
        <w:outlineLvl w:val="1"/>
        <w:rPr>
          <w:rFonts w:ascii="Calisto MT;Century Schoolbook" w:hAnsi="Calisto MT;Century Schoolbook" w:cs="Calisto MT;Century Schoolbook"/>
          <w:i/>
          <w:i/>
          <w:kern w:val="2"/>
          <w:sz w:val="32"/>
          <w:lang w:val="en-GB" w:eastAsia="en-CA"/>
        </w:rPr>
      </w:pPr>
      <w:r>
        <w:rPr>
          <w:rFonts w:cs="Calisto MT;Century Schoolbook" w:ascii="Calisto MT;Century Schoolbook" w:hAnsi="Calisto MT;Century Schoolbook"/>
          <w:i/>
          <w:kern w:val="2"/>
          <w:sz w:val="32"/>
          <w:lang w:val="en-GB" w:eastAsia="en-CA"/>
        </w:rPr>
      </w:r>
    </w:p>
    <w:p>
      <w:pPr>
        <w:pStyle w:val="Subtitle"/>
        <w:numPr>
          <w:ilvl w:val="0"/>
          <w:numId w:val="0"/>
        </w:numPr>
        <w:suppressAutoHyphens w:val="false"/>
        <w:spacing w:before="120" w:after="240"/>
        <w:outlineLvl w:val="1"/>
        <w:rPr>
          <w:rFonts w:ascii="Calisto MT;Century Schoolbook" w:hAnsi="Calisto MT;Century Schoolbook" w:cs="Calisto MT;Century Schoolbook"/>
          <w:i/>
          <w:i/>
          <w:sz w:val="32"/>
          <w:lang w:val="en-GB" w:eastAsia="en-CA"/>
        </w:rPr>
      </w:pPr>
      <w:r>
        <w:rPr>
          <w:rFonts w:cs="Calisto MT;Century Schoolbook" w:ascii="Calisto MT;Century Schoolbook" w:hAnsi="Calisto MT;Century Schoolbook"/>
          <w:i/>
          <w:sz w:val="32"/>
          <w:lang w:val="en-GB" w:eastAsia="en-CA"/>
        </w:rPr>
        <w:t>A White Paper prepared for Enron</w:t>
      </w:r>
    </w:p>
    <w:p>
      <w:pPr>
        <w:pStyle w:val="Normal"/>
        <w:rPr>
          <w:rFonts w:ascii="Calisto MT;Century Schoolbook" w:hAnsi="Calisto MT;Century Schoolbook" w:cs="Calisto MT;Century Schoolbook"/>
          <w:i/>
          <w:i/>
          <w:sz w:val="32"/>
          <w:lang w:val="en-GB" w:eastAsia="en-CA"/>
        </w:rPr>
      </w:pPr>
      <w:r>
        <w:rPr>
          <w:rFonts w:cs="Calisto MT;Century Schoolbook" w:ascii="Calisto MT;Century Schoolbook" w:hAnsi="Calisto MT;Century Schoolbook"/>
          <w:i/>
          <w:sz w:val="32"/>
          <w:lang w:val="en-GB" w:eastAsia="en-CA"/>
        </w:rPr>
      </w:r>
    </w:p>
    <w:p>
      <w:pPr>
        <w:pStyle w:val="Normal"/>
        <w:rPr/>
      </w:pPr>
      <w:r>
        <w:rPr/>
      </w:r>
    </w:p>
    <w:p>
      <w:pPr>
        <w:pStyle w:val="Normal"/>
        <w:rPr/>
      </w:pPr>
      <w:r>
        <w:rPr/>
      </w:r>
    </w:p>
    <w:p>
      <w:pPr>
        <w:pStyle w:val="TOC1"/>
        <w:rPr/>
      </w:pPr>
      <w:r>
        <w:rPr/>
      </w:r>
    </w:p>
    <w:p>
      <w:pPr>
        <w:pStyle w:val="Heading"/>
        <w:rPr/>
      </w:pPr>
      <w:r>
        <w:rPr/>
      </w:r>
    </w:p>
    <w:p>
      <w:pPr>
        <w:pStyle w:val="Heading"/>
        <w:numPr>
          <w:ilvl w:val="0"/>
          <w:numId w:val="0"/>
        </w:numPr>
        <w:rPr/>
      </w:pPr>
      <w:r>
        <w:rPr/>
      </w:r>
      <w:r>
        <mc:AlternateContent>
          <mc:Choice Requires="wps">
            <w:drawing>
              <wp:anchor behindDoc="0" distT="0" distB="0" distL="114935" distR="114935" simplePos="0" locked="0" layoutInCell="0" allowOverlap="1" relativeHeight="12">
                <wp:simplePos x="0" y="0"/>
                <wp:positionH relativeFrom="margin">
                  <wp:posOffset>1600200</wp:posOffset>
                </wp:positionH>
                <wp:positionV relativeFrom="margin">
                  <wp:posOffset>5276850</wp:posOffset>
                </wp:positionV>
                <wp:extent cx="2876550" cy="685800"/>
                <wp:effectExtent l="0" t="0" r="0" b="0"/>
                <wp:wrapNone/>
                <wp:docPr id="2" name="Frame1"/>
                <a:graphic xmlns:a="http://schemas.openxmlformats.org/drawingml/2006/main">
                  <a:graphicData uri="http://schemas.microsoft.com/office/word/2010/wordprocessingShape">
                    <wps:wsp>
                      <wps:cNvSpPr txBox="1"/>
                      <wps:spPr>
                        <a:xfrm>
                          <a:off x="0" y="0"/>
                          <a:ext cx="2876550" cy="685800"/>
                        </a:xfrm>
                        <a:prstGeom prst="rect"/>
                        <a:solidFill>
                          <a:srgbClr val="FFFFFF"/>
                        </a:solidFill>
                      </wps:spPr>
                      <wps:txbx>
                        <w:txbxContent>
                          <w:p>
                            <w:pPr>
                              <w:pStyle w:val="Normal"/>
                              <w:spacing w:before="0" w:after="240"/>
                              <w:jc w:val="center"/>
                              <w:rPr>
                                <w:b/>
                                <w:sz w:val="32"/>
                              </w:rPr>
                            </w:pPr>
                            <w:r>
                              <w:rPr>
                                <w:b/>
                                <w:sz w:val="32"/>
                              </w:rPr>
                              <w:t>April 2001</w:t>
                            </w:r>
                          </w:p>
                        </w:txbxContent>
                      </wps:txbx>
                      <wps:bodyPr anchor="t" lIns="92075" tIns="46355" rIns="92075" bIns="46355">
                        <a:noAutofit/>
                      </wps:bodyPr>
                    </wps:wsp>
                  </a:graphicData>
                </a:graphic>
              </wp:anchor>
            </w:drawing>
          </mc:Choice>
          <mc:Fallback>
            <w:pict>
              <v:rect fillcolor="#FFFFFF" style="position:absolute;rotation:-0;width:226.5pt;height:54pt;mso-wrap-distance-left:9.05pt;mso-wrap-distance-right:9.05pt;mso-wrap-distance-top:0pt;mso-wrap-distance-bottom:0pt;margin-top:415.5pt;mso-position-vertical-relative:margin;margin-left:126pt;mso-position-horizontal-relative:margin">
                <v:textbox inset="0.100694444444444in,0.0506944444444444in,0.100694444444444in,0.0506944444444444in">
                  <w:txbxContent>
                    <w:p>
                      <w:pPr>
                        <w:pStyle w:val="Normal"/>
                        <w:spacing w:before="0" w:after="240"/>
                        <w:jc w:val="center"/>
                        <w:rPr>
                          <w:b/>
                          <w:sz w:val="32"/>
                        </w:rPr>
                      </w:pPr>
                      <w:r>
                        <w:rPr>
                          <w:b/>
                          <w:sz w:val="32"/>
                        </w:rPr>
                        <w:t>April 2001</w:t>
                      </w:r>
                    </w:p>
                  </w:txbxContent>
                </v:textbox>
                <w10:wrap type="none"/>
              </v:rect>
            </w:pict>
          </mc:Fallback>
        </mc:AlternateContent>
      </w:r>
      <w:r>
        <mc:AlternateContent>
          <mc:Choice Requires="wps">
            <w:drawing>
              <wp:anchor behindDoc="0" distT="0" distB="0" distL="114935" distR="114935" simplePos="0" locked="0" layoutInCell="0" allowOverlap="1" relativeHeight="13">
                <wp:simplePos x="0" y="0"/>
                <wp:positionH relativeFrom="margin">
                  <wp:posOffset>1592580</wp:posOffset>
                </wp:positionH>
                <wp:positionV relativeFrom="margin">
                  <wp:posOffset>7284720</wp:posOffset>
                </wp:positionV>
                <wp:extent cx="2757805" cy="687705"/>
                <wp:effectExtent l="0" t="0" r="0" b="0"/>
                <wp:wrapNone/>
                <wp:docPr id="3" name="Frame2"/>
                <a:graphic xmlns:a="http://schemas.openxmlformats.org/drawingml/2006/main">
                  <a:graphicData uri="http://schemas.microsoft.com/office/word/2010/wordprocessingShape">
                    <wps:wsp>
                      <wps:cNvSpPr txBox="1"/>
                      <wps:spPr>
                        <a:xfrm>
                          <a:off x="0" y="0"/>
                          <a:ext cx="2757805" cy="687705"/>
                        </a:xfrm>
                        <a:prstGeom prst="rect"/>
                        <a:solidFill>
                          <a:srgbClr val="FFFFFF"/>
                        </a:solidFill>
                      </wps:spPr>
                      <wps:txbx>
                        <w:txbxContent>
                          <w:p>
                            <w:pPr>
                              <w:pStyle w:val="Normal"/>
                              <w:spacing w:before="240" w:after="240"/>
                              <w:jc w:val="center"/>
                              <w:rPr>
                                <w:b/>
                                <w:bCs/>
                                <w:sz w:val="32"/>
                              </w:rPr>
                            </w:pPr>
                            <w:r>
                              <w:rPr>
                                <w:b/>
                                <w:bCs/>
                                <w:sz w:val="32"/>
                              </w:rPr>
                              <w:t>DRAFT - Confidential</w:t>
                            </w:r>
                          </w:p>
                        </w:txbxContent>
                      </wps:txbx>
                      <wps:bodyPr anchor="t" lIns="92075" tIns="46355" rIns="92075" bIns="46355">
                        <a:noAutofit/>
                      </wps:bodyPr>
                    </wps:wsp>
                  </a:graphicData>
                </a:graphic>
              </wp:anchor>
            </w:drawing>
          </mc:Choice>
          <mc:Fallback>
            <w:pict>
              <v:rect fillcolor="#FFFFFF" style="position:absolute;rotation:-0;width:217.15pt;height:54.15pt;mso-wrap-distance-left:9.05pt;mso-wrap-distance-right:9.05pt;mso-wrap-distance-top:0pt;mso-wrap-distance-bottom:0pt;margin-top:573.6pt;mso-position-vertical-relative:margin;margin-left:125.4pt;mso-position-horizontal-relative:margin">
                <v:textbox inset="0.100694444444444in,0.0506944444444444in,0.100694444444444in,0.0506944444444444in">
                  <w:txbxContent>
                    <w:p>
                      <w:pPr>
                        <w:pStyle w:val="Normal"/>
                        <w:spacing w:before="240" w:after="240"/>
                        <w:jc w:val="center"/>
                        <w:rPr>
                          <w:b/>
                          <w:bCs/>
                          <w:sz w:val="32"/>
                        </w:rPr>
                      </w:pPr>
                      <w:r>
                        <w:rPr>
                          <w:b/>
                          <w:bCs/>
                          <w:sz w:val="32"/>
                        </w:rPr>
                        <w:t>DRAFT - Confidential</w:t>
                      </w:r>
                    </w:p>
                  </w:txbxContent>
                </v:textbox>
                <w10:wrap type="none"/>
              </v:rect>
            </w:pict>
          </mc:Fallback>
        </mc:AlternateContent>
      </w:r>
    </w:p>
    <w:p>
      <w:pPr>
        <w:sectPr>
          <w:footerReference w:type="default" r:id="rId3"/>
          <w:type w:val="nextPage"/>
          <w:pgSz w:w="12240" w:h="15840"/>
          <w:pgMar w:left="1440" w:right="1440" w:gutter="0" w:header="0" w:top="2880" w:footer="720" w:bottom="1800"/>
          <w:pgNumType w:fmt="decimal"/>
          <w:formProt w:val="false"/>
          <w:textDirection w:val="lrTb"/>
          <w:docGrid w:type="default" w:linePitch="360" w:charSpace="0"/>
        </w:sectPr>
      </w:pPr>
    </w:p>
    <w:sdt>
      <w:sdtPr>
        <w:docPartObj>
          <w:docPartGallery w:val="Table of Contents"/>
          <w:docPartUnique w:val="true"/>
        </w:docPartObj>
      </w:sdtPr>
      <w:sdtContent>
        <w:p>
          <w:pPr>
            <w:pStyle w:val="TOC1"/>
            <w:tabs>
              <w:tab w:val="left" w:pos="720" w:leader="none"/>
              <w:tab w:val="right" w:pos="7589" w:leader="dot"/>
            </w:tabs>
            <w:rPr>
              <w:rFonts w:ascii="Times New Roman" w:hAnsi="Times New Roman" w:cs="Times New Roman"/>
              <w:b w:val="false"/>
              <w:szCs w:val="24"/>
              <w:lang w:val="en-US" w:eastAsia="en-CA"/>
            </w:rPr>
          </w:pPr>
          <w:r>
            <w:fldChar w:fldCharType="begin"/>
          </w:r>
          <w:r>
            <w:rPr>
              <w:rStyle w:val="IndexLink"/>
              <w:szCs w:val="28"/>
              <w:lang w:val="en-CA" w:eastAsia="en-CA"/>
            </w:rPr>
            <w:instrText xml:space="preserve"> TOC \o "1-1" \h \z </w:instrText>
          </w:r>
          <w:r>
            <w:rPr>
              <w:rStyle w:val="IndexLink"/>
              <w:szCs w:val="28"/>
              <w:lang w:val="en-CA" w:eastAsia="en-CA"/>
            </w:rPr>
            <w:fldChar w:fldCharType="separate"/>
          </w:r>
          <w:hyperlink w:anchor="__RefHeading___Toc512698174">
            <w:r>
              <w:rPr>
                <w:rStyle w:val="IndexLink"/>
                <w:szCs w:val="28"/>
                <w:lang w:val="en-CA" w:eastAsia="en-CA"/>
              </w:rPr>
              <w:t>1</w:t>
            </w:r>
            <w:r>
              <w:rPr>
                <w:rStyle w:val="IndexLink"/>
                <w:rFonts w:cs="Times New Roman" w:ascii="Times New Roman" w:hAnsi="Times New Roman"/>
                <w:b w:val="false"/>
                <w:szCs w:val="24"/>
                <w:lang w:val="en-US" w:eastAsia="en-CA"/>
              </w:rPr>
              <w:tab/>
            </w:r>
            <w:r>
              <w:rPr>
                <w:rStyle w:val="IndexLink"/>
                <w:szCs w:val="28"/>
                <w:lang w:val="en-CA" w:eastAsia="en-CA"/>
              </w:rPr>
              <w:t>Introduction</w:t>
            </w:r>
            <w:r>
              <w:rPr>
                <w:rStyle w:val="IndexLink"/>
                <w:lang w:val="en-CA" w:eastAsia="en-CA"/>
              </w:rPr>
              <w:tab/>
              <w:t>2</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75">
            <w:r>
              <w:rPr>
                <w:rStyle w:val="IndexLink"/>
                <w:szCs w:val="28"/>
                <w:lang w:val="en-CA" w:eastAsia="en-CA"/>
              </w:rPr>
              <w:t>2</w:t>
            </w:r>
            <w:r>
              <w:rPr>
                <w:rStyle w:val="IndexLink"/>
                <w:rFonts w:cs="Times New Roman" w:ascii="Times New Roman" w:hAnsi="Times New Roman"/>
                <w:b w:val="false"/>
                <w:szCs w:val="24"/>
                <w:lang w:val="en-US" w:eastAsia="en-CA"/>
              </w:rPr>
              <w:tab/>
            </w:r>
            <w:r>
              <w:rPr>
                <w:rStyle w:val="IndexLink"/>
                <w:szCs w:val="28"/>
                <w:lang w:val="en-CA" w:eastAsia="en-CA"/>
              </w:rPr>
              <w:t>Limitation on markets for power</w:t>
            </w:r>
            <w:r>
              <w:rPr>
                <w:rStyle w:val="IndexLink"/>
                <w:lang w:val="en-CA" w:eastAsia="en-CA"/>
              </w:rPr>
              <w:tab/>
              <w:t>5</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76">
            <w:r>
              <w:rPr>
                <w:rStyle w:val="IndexLink"/>
                <w:szCs w:val="28"/>
                <w:lang w:val="en-CA" w:eastAsia="en-CA"/>
              </w:rPr>
              <w:t>3</w:t>
            </w:r>
            <w:r>
              <w:rPr>
                <w:rStyle w:val="IndexLink"/>
                <w:rFonts w:cs="Times New Roman" w:ascii="Times New Roman" w:hAnsi="Times New Roman"/>
                <w:b w:val="false"/>
                <w:szCs w:val="24"/>
                <w:lang w:val="en-US" w:eastAsia="en-CA"/>
              </w:rPr>
              <w:tab/>
            </w:r>
            <w:r>
              <w:rPr>
                <w:rStyle w:val="IndexLink"/>
                <w:szCs w:val="28"/>
                <w:lang w:val="en-CA" w:eastAsia="en-CA"/>
              </w:rPr>
              <w:t>Forward markets, liquidity and price discovery</w:t>
            </w:r>
            <w:r>
              <w:rPr>
                <w:rStyle w:val="IndexLink"/>
                <w:lang w:val="en-CA" w:eastAsia="en-CA"/>
              </w:rPr>
              <w:tab/>
              <w:t>8</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77">
            <w:r>
              <w:rPr>
                <w:rStyle w:val="IndexLink"/>
                <w:szCs w:val="28"/>
                <w:lang w:val="en-CA" w:eastAsia="en-CA"/>
              </w:rPr>
              <w:t>4</w:t>
            </w:r>
            <w:r>
              <w:rPr>
                <w:rStyle w:val="IndexLink"/>
                <w:rFonts w:cs="Times New Roman" w:ascii="Times New Roman" w:hAnsi="Times New Roman"/>
                <w:b w:val="false"/>
                <w:szCs w:val="24"/>
                <w:lang w:val="en-US" w:eastAsia="en-CA"/>
              </w:rPr>
              <w:tab/>
            </w:r>
            <w:r>
              <w:rPr>
                <w:rStyle w:val="IndexLink"/>
                <w:szCs w:val="28"/>
                <w:lang w:val="en-CA" w:eastAsia="en-CA"/>
              </w:rPr>
              <w:t>Designing of spot markets</w:t>
            </w:r>
            <w:r>
              <w:rPr>
                <w:rStyle w:val="IndexLink"/>
                <w:lang w:val="en-CA" w:eastAsia="en-CA"/>
              </w:rPr>
              <w:tab/>
              <w:t>13</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78">
            <w:r>
              <w:rPr>
                <w:rStyle w:val="IndexLink"/>
                <w:szCs w:val="28"/>
                <w:lang w:val="en-CA" w:eastAsia="en-CA"/>
              </w:rPr>
              <w:t>5</w:t>
            </w:r>
            <w:r>
              <w:rPr>
                <w:rStyle w:val="IndexLink"/>
                <w:rFonts w:cs="Times New Roman" w:ascii="Times New Roman" w:hAnsi="Times New Roman"/>
                <w:b w:val="false"/>
                <w:szCs w:val="24"/>
                <w:lang w:val="en-US" w:eastAsia="en-CA"/>
              </w:rPr>
              <w:tab/>
            </w:r>
            <w:r>
              <w:rPr>
                <w:rStyle w:val="IndexLink"/>
                <w:szCs w:val="28"/>
                <w:lang w:val="en-CA" w:eastAsia="en-CA"/>
              </w:rPr>
              <w:t>An interim RTO model</w:t>
            </w:r>
            <w:r>
              <w:rPr>
                <w:rStyle w:val="IndexLink"/>
                <w:lang w:val="en-CA" w:eastAsia="en-CA"/>
              </w:rPr>
              <w:tab/>
              <w:t>17</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79">
            <w:r>
              <w:rPr>
                <w:rStyle w:val="IndexLink"/>
                <w:szCs w:val="28"/>
                <w:lang w:val="en-CA" w:eastAsia="en-CA"/>
              </w:rPr>
              <w:t>6</w:t>
            </w:r>
            <w:r>
              <w:rPr>
                <w:rStyle w:val="IndexLink"/>
                <w:rFonts w:cs="Times New Roman" w:ascii="Times New Roman" w:hAnsi="Times New Roman"/>
                <w:b w:val="false"/>
                <w:szCs w:val="24"/>
                <w:lang w:val="en-US" w:eastAsia="en-CA"/>
              </w:rPr>
              <w:tab/>
            </w:r>
            <w:r>
              <w:rPr>
                <w:rStyle w:val="IndexLink"/>
                <w:szCs w:val="28"/>
                <w:lang w:val="en-CA" w:eastAsia="en-CA"/>
              </w:rPr>
              <w:t>The competitive framework</w:t>
            </w:r>
            <w:r>
              <w:rPr>
                <w:rStyle w:val="IndexLink"/>
                <w:lang w:val="en-CA" w:eastAsia="en-CA"/>
              </w:rPr>
              <w:tab/>
              <w:t>21</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80">
            <w:r>
              <w:rPr>
                <w:rStyle w:val="IndexLink"/>
                <w:szCs w:val="28"/>
                <w:lang w:val="en-CA" w:eastAsia="en-CA"/>
              </w:rPr>
              <w:t>7</w:t>
            </w:r>
            <w:r>
              <w:rPr>
                <w:rStyle w:val="IndexLink"/>
                <w:rFonts w:cs="Times New Roman" w:ascii="Times New Roman" w:hAnsi="Times New Roman"/>
                <w:b w:val="false"/>
                <w:szCs w:val="24"/>
                <w:lang w:val="en-US" w:eastAsia="en-CA"/>
              </w:rPr>
              <w:tab/>
            </w:r>
            <w:r>
              <w:rPr>
                <w:rStyle w:val="IndexLink"/>
                <w:szCs w:val="28"/>
                <w:lang w:val="en-CA" w:eastAsia="en-CA"/>
              </w:rPr>
              <w:t>How can the interim RTO model potentially evolve?</w:t>
            </w:r>
            <w:r>
              <w:rPr>
                <w:rStyle w:val="IndexLink"/>
                <w:lang w:val="en-CA" w:eastAsia="en-CA"/>
              </w:rPr>
              <w:tab/>
              <w:t>26</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2698181">
            <w:r>
              <w:rPr>
                <w:rStyle w:val="IndexLink"/>
                <w:szCs w:val="28"/>
                <w:lang w:val="en-CA" w:eastAsia="en-CA"/>
              </w:rPr>
              <w:t>8</w:t>
            </w:r>
            <w:r>
              <w:rPr>
                <w:rStyle w:val="IndexLink"/>
                <w:rFonts w:cs="Times New Roman" w:ascii="Times New Roman" w:hAnsi="Times New Roman"/>
                <w:b w:val="false"/>
                <w:szCs w:val="24"/>
                <w:lang w:val="en-US" w:eastAsia="en-CA"/>
              </w:rPr>
              <w:tab/>
            </w:r>
            <w:r>
              <w:rPr>
                <w:rStyle w:val="IndexLink"/>
                <w:szCs w:val="28"/>
                <w:lang w:val="en-CA" w:eastAsia="en-CA"/>
              </w:rPr>
              <w:t>Four steps for making markets work – an agenda for action</w:t>
            </w:r>
            <w:r>
              <w:rPr>
                <w:rStyle w:val="IndexLink"/>
                <w:lang w:val="en-CA" w:eastAsia="en-CA"/>
              </w:rPr>
              <w:tab/>
              <w:t>30</w:t>
            </w:r>
          </w:hyperlink>
        </w:p>
        <w:p>
          <w:pPr>
            <w:pStyle w:val="TOC1"/>
            <w:tabs>
              <w:tab w:val="left" w:pos="720" w:leader="none"/>
              <w:tab w:val="right" w:pos="7589" w:leader="dot"/>
            </w:tabs>
            <w:rPr>
              <w:rFonts w:ascii="Times New Roman" w:hAnsi="Times New Roman" w:cs="Times New Roman"/>
              <w:szCs w:val="24"/>
              <w:lang w:val="en-US" w:eastAsia="en-CA"/>
            </w:rPr>
          </w:pPr>
          <w:hyperlink w:anchor="__RefHeading___Toc512698182">
            <w:r>
              <w:rPr>
                <w:rStyle w:val="IndexLink"/>
                <w:b w:val="false"/>
                <w:szCs w:val="28"/>
                <w:lang w:val="en-CA" w:eastAsia="en-CA"/>
              </w:rPr>
              <w:t>9</w:t>
            </w:r>
            <w:r>
              <w:rPr>
                <w:rStyle w:val="IndexLink"/>
                <w:rFonts w:cs="Times New Roman" w:ascii="Times New Roman" w:hAnsi="Times New Roman"/>
                <w:b w:val="false"/>
                <w:szCs w:val="24"/>
                <w:lang w:val="en-US" w:eastAsia="en-CA"/>
              </w:rPr>
              <w:tab/>
            </w:r>
            <w:r>
              <w:rPr>
                <w:rStyle w:val="IndexLink"/>
                <w:b w:val="false"/>
                <w:szCs w:val="28"/>
                <w:lang w:val="en-CA" w:eastAsia="en-CA"/>
              </w:rPr>
              <w:t>Conclusions</w:t>
            </w:r>
            <w:r>
              <w:rPr>
                <w:rStyle w:val="IndexLink"/>
                <w:b w:val="false"/>
                <w:lang w:val="en-CA" w:eastAsia="en-CA"/>
              </w:rPr>
              <w:tab/>
              <w:t>35</w:t>
            </w:r>
          </w:hyperlink>
          <w:r>
            <w:rPr>
              <w:rStyle w:val="IndexLink"/>
              <w:b w:val="false"/>
              <w:lang w:val="en-CA" w:eastAsia="en-CA"/>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800"/>
          <w:pgNumType w:start="1" w:fmt="lowerRoman"/>
          <w:formProt w:val="false"/>
          <w:textDirection w:val="lrTb"/>
          <w:docGrid w:type="default" w:linePitch="360" w:charSpace="0"/>
        </w:sectPr>
        <w:pStyle w:val="Normal"/>
        <w:numPr>
          <w:ilvl w:val="0"/>
          <w:numId w:val="0"/>
        </w:numPr>
        <w:rPr>
          <w:rFonts w:ascii="Times New Roman" w:hAnsi="Times New Roman" w:cs="Times New Roman"/>
          <w:b/>
          <w:szCs w:val="24"/>
          <w:lang w:val="en-US" w:eastAsia="en-CA"/>
        </w:rPr>
      </w:pPr>
      <w:r>
        <w:rPr>
          <w:rFonts w:cs="Times New Roman" w:ascii="Times New Roman" w:hAnsi="Times New Roman"/>
          <w:b/>
          <w:szCs w:val="24"/>
          <w:lang w:val="en-US" w:eastAsia="en-CA"/>
        </w:rPr>
      </w:r>
    </w:p>
    <w:p>
      <w:pPr>
        <w:pStyle w:val="Heading1"/>
        <w:ind w:hanging="0" w:start="0"/>
        <w:rPr/>
      </w:pPr>
      <w:bookmarkStart w:id="1" w:name="__RefHeading___Toc512698174"/>
      <w:bookmarkStart w:id="2" w:name="_Ref512668684"/>
      <w:bookmarkStart w:id="3" w:name="_Ref511626406"/>
      <w:bookmarkEnd w:id="3"/>
      <w:r>
        <w:rPr/>
        <w:t>Introduction</w:t>
      </w:r>
      <w:bookmarkEnd w:id="1"/>
      <w:bookmarkEnd w:id="2"/>
      <w:r>
        <w:rPr/>
        <w:t xml:space="preserve"> </w:t>
      </w:r>
    </w:p>
    <w:p>
      <w:pPr>
        <w:pStyle w:val="Normal"/>
        <w:rPr/>
      </w:pPr>
      <w:r>
        <w:rPr/>
        <w:t>The new Federal Energy Regulatory Commission (“the Commission” or “FERC”) takes up its duties at a critical juncture in the electric restructuring process in the United States. The assumptions that have guided so many policies in the past – that prices would automatically fall as competition took root, and that new capacity would appear as required to meet demand growth – have been repudiated by sometimes painful experience. And in some regions of the country – the West, New York and the Southeast especially – the worst may yet to come.</w:t>
      </w:r>
    </w:p>
    <w:p>
      <w:pPr>
        <w:pStyle w:val="Heading2"/>
        <w:ind w:hanging="0" w:start="0"/>
        <w:rPr/>
      </w:pPr>
      <w:r>
        <w:rPr/>
        <w:t xml:space="preserve">RTO design and investment </w:t>
      </w:r>
    </w:p>
    <w:p>
      <w:pPr>
        <w:pStyle w:val="Normal"/>
        <w:rPr/>
      </w:pPr>
      <w:r>
        <w:rPr/>
        <w:t xml:space="preserve">The Commission has rightfully recognized that the fundamental issue in the U.S. electric sector is </w:t>
      </w:r>
      <w:r>
        <w:rPr>
          <w:i/>
          <w:iCs/>
        </w:rPr>
        <w:t>investment</w:t>
      </w:r>
      <w:r>
        <w:rPr/>
        <w:t>. Meeting current demand growth requires an entire new fleet of generation and transmission assets to come online in a short period. All Commission policies should serve to strengthen, and not hinder, the scope for investment.</w:t>
      </w:r>
    </w:p>
    <w:p>
      <w:pPr>
        <w:pStyle w:val="Normal"/>
        <w:rPr/>
      </w:pPr>
      <w:r>
        <w:rPr/>
        <w:t xml:space="preserve">At the same time as capacity shortfalls have hit the headlines, the most important FERC initiative of the last few years – the creation of Regional Transmission Organizations (“RTOs”) – has slowed. </w:t>
      </w:r>
      <w:r>
        <w:rPr>
          <w:lang w:val="en-US"/>
        </w:rPr>
        <w:t>FERC’s Order 2000 requires that public utilities that own, operate or control facilities for the transmission of electric energy in interstate commerce make certain filings with respect to forming and participating in an RTO.</w:t>
      </w:r>
      <w:r>
        <w:rPr>
          <w:rStyle w:val="FootnoteCharacters"/>
          <w:rStyle w:val="FootnoteReference"/>
          <w:lang w:val="en-US"/>
        </w:rPr>
        <w:footnoteReference w:id="2"/>
      </w:r>
      <w:r>
        <w:rPr>
          <w:lang w:val="en-US"/>
        </w:rPr>
        <w:t xml:space="preserve"> </w:t>
      </w:r>
      <w:r>
        <w:rPr/>
        <w:t>RTOs are the logical next step towards deregulation. However, recent events have raised questions about their scope and likely success. FERC Commissioners have commented on the slow pace of RTO development nationwide. I</w:t>
      </w:r>
      <w:r>
        <w:rPr>
          <w:lang w:val="en-US"/>
        </w:rPr>
        <w:t xml:space="preserve">t is also not clear that recent RTO filings with the Commission meet key objectives related to the competitiveness of the new regional markets. </w:t>
      </w:r>
    </w:p>
    <w:p>
      <w:pPr>
        <w:pStyle w:val="Normal"/>
        <w:rPr/>
      </w:pPr>
      <w:r>
        <w:rPr/>
        <w:t xml:space="preserve">It is our first thesis that the current RTO process is inadequate to address the regulatory uncertainty currently limiting the scope for investment in many regions of the United States. The objectives and elements of RTOs are too limited, and focus on only on a select subset of the elements of power market. We believe that the objectives and designs of RTOs should place a greater focus on their central role in broader power </w:t>
      </w:r>
      <w:r>
        <w:rPr>
          <w:i/>
          <w:iCs/>
        </w:rPr>
        <w:t>markets</w:t>
      </w:r>
      <w:r>
        <w:rPr/>
        <w:t xml:space="preserve">. While the open access framework of RTOs, as described in Order 2000, is an important plank in the market platform, the Commission should not approve RTOs that meet only these narrow criteria. The Commission has seen the results – in California and elsewhere – of policymakers focusing only on ISO operational mechanics. The result has been markets that cannot clear efficiently, as wholesale markets produce prices no customers actually see. </w:t>
      </w:r>
    </w:p>
    <w:p>
      <w:pPr>
        <w:pStyle w:val="Normal"/>
        <w:rPr/>
      </w:pPr>
      <w:r>
        <w:rPr/>
        <w:t>What is needed across the country – if investment and reliability goals are to be met – is an appreciation that RTO designs are only the basic engine of competition. They are critical; the car is not going anywhere without an engine. Neither, however, is the car functional without wheels, transmission and steering. The Commission’s focus with regards to RTO formation should be to ensure that the engine design fits in with rest of the vehicle. The development of RTOs should in every sense be consistent with the broader economic requirements for developing robust and liquid markets. The United States is counting on markets to deliver the investment needed to meet growing demand. Without consistency between more limited RTO objectives and broader market design objectives, RTOs are likely to form a stopgap measure that will not support key investment and efficiency objectives.</w:t>
      </w:r>
    </w:p>
    <w:p>
      <w:pPr>
        <w:pStyle w:val="Heading2"/>
        <w:ind w:hanging="0" w:start="0"/>
        <w:rPr/>
      </w:pPr>
      <w:r>
        <w:rPr/>
        <w:t>RTO processes to date</w:t>
      </w:r>
    </w:p>
    <w:p>
      <w:pPr>
        <w:pStyle w:val="Normal"/>
        <w:rPr/>
      </w:pPr>
      <w:r>
        <w:rPr/>
        <w:t xml:space="preserve">It is our second thesis that the RTO development process is slow and cumbersome, and that it needs to be speeded up. The Commission offering strong guidance towards what is acceptable in RTO formation can best achieve this. Many of the RTO stakeholder processes across the country represent duplicative attempts to re-invent the wheel, and are wasteful of time and resources. The Commission would be better advised to settle on one interim model, and then push for its implementation on a broad a scale as possible. There is insufficient time for the indulgence of allowing numerous regional bodies to develop individualized models and spending years writing the corresponding software. Progress is needed, and needed now. The Commission can ensure progress is swift by settling on a basic interim RTO design as soon as possible. Provisions can be made for this RTO model to evolve as further experience is gained about how to ideally structure wholesale power markets. </w:t>
      </w:r>
    </w:p>
    <w:p>
      <w:pPr>
        <w:pStyle w:val="Heading2"/>
        <w:ind w:hanging="0" w:start="0"/>
        <w:rPr/>
      </w:pPr>
      <w:r>
        <w:rPr/>
        <w:t>RTOs and market fundamentals</w:t>
      </w:r>
    </w:p>
    <w:p>
      <w:pPr>
        <w:pStyle w:val="Normal"/>
        <w:rPr/>
      </w:pPr>
      <w:r>
        <w:rPr/>
        <w:t xml:space="preserve">It is our third thesis that the significant failures in U.S. power restructuring have resulted from ignoring some fundamental economic principles. Many of these principles are outside of the current RTO scope, although the Commission will be approving RTOs that do not meet the fundamental criteria of workable markets. These include measures for addressing market power – measures that will require the Commission to revise completely its methodology for assessing prospective market power. Just as critical is the need for both federal and state regulators to ensure that meaningful price signals are sent to consumers. Without these efficient price signals, any RTO, no matter how well constructed, will likely fail. Again, this requires thinking not of RTOs as mechanisms for transmission access, but rather as one element of broader market design. Elementary economic logic suggests that no market can clear efficiently where users of a product see no price signals. Nevertheless, this is precisely the </w:t>
      </w:r>
      <w:r>
        <w:rPr>
          <w:i/>
          <w:iCs/>
        </w:rPr>
        <w:t>Alice in Wonderland</w:t>
      </w:r>
      <w:r>
        <w:rPr/>
        <w:t xml:space="preserve"> world where we often find ourselves today.</w:t>
      </w:r>
    </w:p>
    <w:p>
      <w:pPr>
        <w:pStyle w:val="Heading2"/>
        <w:ind w:hanging="0" w:start="0"/>
        <w:rPr/>
      </w:pPr>
      <w:r>
        <w:rPr/>
        <w:t>Organization of this paper</w:t>
      </w:r>
    </w:p>
    <w:p>
      <w:pPr>
        <w:pStyle w:val="Normal"/>
        <w:rPr/>
      </w:pPr>
      <w:r>
        <w:rPr/>
        <w:t xml:space="preserve">This paper focuses on the economic foundations of efficient power markets, and how RTO design and formation can play a key role in their development. </w:t>
      </w:r>
      <w:r>
        <w:rPr>
          <w:lang w:val="en-US"/>
        </w:rPr>
        <w:t xml:space="preserve">It is not intended to be a comprehensive treatise on the design of power markets. Rather, it attempts to highlight practical options and solutions for RTO design that can be implemented within a foreseeable timetable and at limited cost. </w:t>
      </w:r>
    </w:p>
    <w:p>
      <w:pPr>
        <w:pStyle w:val="Normal"/>
        <w:rPr/>
      </w:pPr>
      <w:r>
        <w:rPr/>
        <w:t>The remainder of this paper is broken down into the following sections:</w:t>
      </w:r>
    </w:p>
    <w:p>
      <w:pPr>
        <w:pStyle w:val="ListBullet1"/>
        <w:numPr>
          <w:ilvl w:val="1"/>
          <w:numId w:val="7"/>
        </w:numPr>
        <w:rPr>
          <w:lang w:val="en-US"/>
        </w:rPr>
      </w:pPr>
      <w:r>
        <w:rPr>
          <w:lang w:val="en-US"/>
        </w:rPr>
        <w:t xml:space="preserve">Section </w:t>
      </w:r>
      <w:r>
        <w:rPr>
          <w:lang w:val="en-US"/>
        </w:rPr>
        <w:fldChar w:fldCharType="begin"/>
      </w:r>
      <w:r>
        <w:rPr>
          <w:lang w:val="en-US"/>
        </w:rPr>
        <w:instrText xml:space="preserve"> REF _Ref512686210 \r \r \h </w:instrText>
      </w:r>
      <w:r>
        <w:rPr>
          <w:lang w:val="en-US"/>
        </w:rPr>
        <w:fldChar w:fldCharType="separate"/>
      </w:r>
      <w:r>
        <w:rPr>
          <w:lang w:val="en-US"/>
        </w:rPr>
        <w:t>Error: Reference source not found</w:t>
      </w:r>
      <w:r>
        <w:rPr>
          <w:lang w:val="en-US"/>
        </w:rPr>
        <w:fldChar w:fldCharType="end"/>
      </w:r>
      <w:r>
        <w:rPr>
          <w:lang w:val="en-US"/>
        </w:rPr>
        <w:t xml:space="preserve"> summarizes the purpose behind the implementation of competitive wholesale markets, and comments on design limitations as well as key design issues. </w:t>
      </w:r>
    </w:p>
    <w:p>
      <w:pPr>
        <w:pStyle w:val="ListBullet1"/>
        <w:numPr>
          <w:ilvl w:val="1"/>
          <w:numId w:val="7"/>
        </w:numPr>
        <w:rPr>
          <w:lang w:val="en-US"/>
        </w:rPr>
      </w:pPr>
      <w:r>
        <w:rPr>
          <w:lang w:val="en-US"/>
        </w:rPr>
        <w:t xml:space="preserve">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xml:space="preserve"> describes the key role of forwards markets in achieving investment and efficiency objectives, and outlines the interactions between forwards price discovery and spot market formation.</w:t>
      </w:r>
    </w:p>
    <w:p>
      <w:pPr>
        <w:pStyle w:val="ListBullet1"/>
        <w:numPr>
          <w:ilvl w:val="1"/>
          <w:numId w:val="7"/>
        </w:numPr>
        <w:rPr>
          <w:lang w:val="en-US"/>
        </w:rPr>
      </w:pPr>
      <w:r>
        <w:rPr>
          <w:lang w:val="en-US"/>
        </w:rPr>
        <w:t xml:space="preserve">Section </w:t>
      </w:r>
      <w:r>
        <w:rPr>
          <w:lang w:val="en-US"/>
        </w:rPr>
        <w:fldChar w:fldCharType="begin"/>
      </w:r>
      <w:r>
        <w:rPr>
          <w:lang w:val="en-US"/>
        </w:rPr>
        <w:instrText xml:space="preserve"> REF _Ref512668720 \r \r \h </w:instrText>
      </w:r>
      <w:r>
        <w:rPr>
          <w:lang w:val="en-US"/>
        </w:rPr>
        <w:fldChar w:fldCharType="separate"/>
      </w:r>
      <w:r>
        <w:rPr>
          <w:lang w:val="en-US"/>
        </w:rPr>
        <w:t>4</w:t>
      </w:r>
      <w:r>
        <w:rPr>
          <w:lang w:val="en-US"/>
        </w:rPr>
        <w:fldChar w:fldCharType="end"/>
      </w:r>
      <w:r>
        <w:rPr>
          <w:lang w:val="en-US"/>
        </w:rPr>
        <w:t xml:space="preserve"> highlights the decisions to be made in designing RTO-type spot markets, specifically with regards to unit commitment and dispatch. </w:t>
      </w:r>
    </w:p>
    <w:p>
      <w:pPr>
        <w:pStyle w:val="ListBullet1"/>
        <w:numPr>
          <w:ilvl w:val="1"/>
          <w:numId w:val="7"/>
        </w:numPr>
        <w:rPr>
          <w:lang w:val="en-US"/>
        </w:rPr>
      </w:pPr>
      <w:r>
        <w:rPr>
          <w:lang w:val="en-US"/>
        </w:rPr>
        <w:t xml:space="preserve">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describes a proposal for interim RTO model, which draws on the three previous sections. This proposal is designed to be practical in the short-term and meet the economic requirements that the Commission should emphasize in RTO approval. </w:t>
      </w:r>
    </w:p>
    <w:p>
      <w:pPr>
        <w:pStyle w:val="ListBullet1"/>
        <w:numPr>
          <w:ilvl w:val="1"/>
          <w:numId w:val="7"/>
        </w:numPr>
        <w:rPr>
          <w:lang w:val="en-US"/>
        </w:rPr>
      </w:pPr>
      <w:r>
        <w:rPr>
          <w:lang w:val="en-US"/>
        </w:rPr>
        <w:t xml:space="preserve">Section </w:t>
      </w:r>
      <w:r>
        <w:rPr>
          <w:lang w:val="en-US"/>
        </w:rPr>
        <w:fldChar w:fldCharType="begin"/>
      </w:r>
      <w:r>
        <w:rPr>
          <w:lang w:val="en-US"/>
        </w:rPr>
        <w:instrText xml:space="preserve"> REF _Ref512668767 \r \r \h </w:instrText>
      </w:r>
      <w:r>
        <w:rPr>
          <w:lang w:val="en-US"/>
        </w:rPr>
        <w:fldChar w:fldCharType="separate"/>
      </w:r>
      <w:r>
        <w:rPr>
          <w:lang w:val="en-US"/>
        </w:rPr>
        <w:t>6</w:t>
      </w:r>
      <w:r>
        <w:rPr>
          <w:lang w:val="en-US"/>
        </w:rPr>
        <w:fldChar w:fldCharType="end"/>
      </w:r>
      <w:r>
        <w:rPr>
          <w:lang w:val="en-US"/>
        </w:rPr>
        <w:t xml:space="preserve"> describes the competitive framework in which RTOs must operate, and highlights two key issues that the Commission must address proactively, if RTOs are to be a success – supplier market power, retail competition and demand price signals. </w:t>
      </w:r>
    </w:p>
    <w:p>
      <w:pPr>
        <w:pStyle w:val="ListBullet1"/>
        <w:numPr>
          <w:ilvl w:val="1"/>
          <w:numId w:val="7"/>
        </w:numPr>
        <w:rPr/>
      </w:pPr>
      <w:r>
        <w:rPr>
          <w:lang w:val="en-US"/>
        </w:rPr>
        <w:t xml:space="preserve">Section </w:t>
      </w:r>
      <w:r>
        <w:rPr>
          <w:lang w:val="en-US"/>
        </w:rPr>
        <w:fldChar w:fldCharType="begin"/>
      </w:r>
      <w:r>
        <w:rPr>
          <w:lang w:val="en-US"/>
        </w:rPr>
        <w:instrText xml:space="preserve"> REF _Ref511626490 \r \r \h </w:instrText>
      </w:r>
      <w:r>
        <w:rPr>
          <w:lang w:val="en-US"/>
        </w:rPr>
        <w:fldChar w:fldCharType="separate"/>
      </w:r>
      <w:r>
        <w:rPr>
          <w:lang w:val="en-US"/>
        </w:rPr>
        <w:t>7</w:t>
      </w:r>
      <w:r>
        <w:rPr>
          <w:lang w:val="en-US"/>
        </w:rPr>
        <w:fldChar w:fldCharType="end"/>
      </w:r>
      <w:r>
        <w:rPr>
          <w:lang w:val="en-US"/>
        </w:rPr>
        <w:t xml:space="preserve"> discusses how the interim RTO model described in Section </w:t>
      </w:r>
      <w:r>
        <w:rPr>
          <w:lang w:val="en-US"/>
        </w:rPr>
        <w:fldChar w:fldCharType="begin"/>
      </w:r>
      <w:r>
        <w:rPr>
          <w:lang w:val="en-US"/>
        </w:rPr>
        <w:instrText xml:space="preserve"> REF _Ref512668841 \r \r \h </w:instrText>
      </w:r>
      <w:r>
        <w:rPr>
          <w:lang w:val="en-US"/>
        </w:rPr>
        <w:fldChar w:fldCharType="separate"/>
      </w:r>
      <w:r>
        <w:rPr>
          <w:lang w:val="en-US"/>
        </w:rPr>
        <w:t>6</w:t>
      </w:r>
      <w:r>
        <w:rPr>
          <w:lang w:val="en-US"/>
        </w:rPr>
        <w:fldChar w:fldCharType="end"/>
      </w:r>
      <w:r>
        <w:rPr>
          <w:lang w:val="en-US"/>
        </w:rPr>
        <w:t xml:space="preserve"> might evolve, in order to support moves to more decentralized market operations.</w:t>
      </w:r>
    </w:p>
    <w:p>
      <w:pPr>
        <w:pStyle w:val="ListBullet1"/>
        <w:numPr>
          <w:ilvl w:val="1"/>
          <w:numId w:val="7"/>
        </w:numPr>
        <w:rPr/>
      </w:pPr>
      <w:r>
        <w:rPr>
          <w:lang w:val="en-US"/>
        </w:rPr>
        <w:t xml:space="preserve">Section </w:t>
      </w:r>
      <w:r>
        <w:rPr>
          <w:lang w:val="en-US"/>
        </w:rPr>
        <w:fldChar w:fldCharType="begin"/>
      </w:r>
      <w:r>
        <w:rPr>
          <w:lang w:val="en-US"/>
        </w:rPr>
        <w:instrText xml:space="preserve"> REF _Ref512401220 \r \r \h </w:instrText>
      </w:r>
      <w:r>
        <w:rPr>
          <w:lang w:val="en-US"/>
        </w:rPr>
        <w:fldChar w:fldCharType="separate"/>
      </w:r>
      <w:r>
        <w:rPr>
          <w:lang w:val="en-US"/>
        </w:rPr>
        <w:t>8</w:t>
      </w:r>
      <w:r>
        <w:rPr>
          <w:lang w:val="en-US"/>
        </w:rPr>
        <w:fldChar w:fldCharType="end"/>
      </w:r>
      <w:r>
        <w:rPr>
          <w:lang w:val="en-US"/>
        </w:rPr>
        <w:t xml:space="preserve"> presents an agenda for action that, if accepted, will allow the Commission to achieve its goal of workable and robust wholesale and retail markets to be met in a timely and efficient fashion.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ListBullet1"/>
        <w:numPr>
          <w:ilvl w:val="1"/>
          <w:numId w:val="7"/>
        </w:numPr>
        <w:rPr/>
      </w:pPr>
      <w:r>
        <w:rPr>
          <w:lang w:val="en-US"/>
        </w:rPr>
        <w:t xml:space="preserve">Section </w:t>
      </w:r>
      <w:r>
        <w:rPr>
          <w:lang w:val="en-US"/>
        </w:rPr>
        <w:fldChar w:fldCharType="begin"/>
      </w:r>
      <w:r>
        <w:rPr>
          <w:lang w:val="en-US"/>
        </w:rPr>
        <w:instrText xml:space="preserve"> REF _Ref512401578 \r \r \h </w:instrText>
      </w:r>
      <w:r>
        <w:rPr>
          <w:lang w:val="en-US"/>
        </w:rPr>
        <w:fldChar w:fldCharType="separate"/>
      </w:r>
      <w:r>
        <w:rPr>
          <w:lang w:val="en-US"/>
        </w:rPr>
        <w:t>9</w:t>
      </w:r>
      <w:r>
        <w:rPr>
          <w:lang w:val="en-US"/>
        </w:rPr>
        <w:fldChar w:fldCharType="end"/>
      </w:r>
      <w:r>
        <w:rPr>
          <w:lang w:val="en-US"/>
        </w:rPr>
        <w:t xml:space="preserve"> concludes with a discussion of the importance of the RTO process and why the new Commission has an unparalleled opportunity to influence the electric restructuring process at this critical juncture. </w:t>
      </w:r>
    </w:p>
    <w:p>
      <w:pPr>
        <w:pStyle w:val="Heading1"/>
        <w:ind w:hanging="0" w:start="0"/>
        <w:rPr/>
      </w:pPr>
      <w:bookmarkStart w:id="4" w:name="_Ref511626406"/>
      <w:bookmarkStart w:id="5" w:name="__RefHeading___Toc512698175"/>
      <w:bookmarkStart w:id="6" w:name="_Ref512397994"/>
      <w:bookmarkEnd w:id="4"/>
      <w:bookmarkEnd w:id="5"/>
      <w:bookmarkEnd w:id="6"/>
      <w:r>
        <w:rPr/>
        <w:t>Limitation on markets for power</w:t>
      </w:r>
    </w:p>
    <w:p>
      <w:pPr>
        <w:pStyle w:val="Normal"/>
        <w:rPr>
          <w:lang w:val="en-US"/>
        </w:rPr>
      </w:pPr>
      <w:r>
        <w:rPr/>
        <w:t xml:space="preserve">We believe that valuable insights can be gained for designing RTOs and power markets from the experience and theory of other commodity markets. These markets, for diverse commodities ranging from natural gas to orange juice, reflects many years of practical experience, and are successful at coordinating supply and demand over space and time. However, it must also be recognized that electricity is a peculiar commodity, and that its special characteristics must be reflected in market design principles. The constraints on power market operations include: </w:t>
      </w:r>
    </w:p>
    <w:p>
      <w:pPr>
        <w:pStyle w:val="ListBullet1"/>
        <w:numPr>
          <w:ilvl w:val="1"/>
          <w:numId w:val="7"/>
        </w:numPr>
        <w:rPr>
          <w:lang w:val="en-US"/>
        </w:rPr>
      </w:pPr>
      <w:r>
        <w:rPr>
          <w:b/>
          <w:bCs/>
          <w:i/>
          <w:iCs/>
          <w:lang w:val="en-US"/>
        </w:rPr>
        <w:t xml:space="preserve">Demand constraints: </w:t>
      </w:r>
      <w:r>
        <w:rPr>
          <w:lang w:val="en-US"/>
        </w:rPr>
        <w:t>Demand for electric power by customers is unpredictable and varies on a very short time scale. How much power an individual customer uses at any point in time is unknown, and it is difficult to stop individual customers from consuming as much power as they wish. The implication in practice is that to prevent the risk of blackouts in an entire region or state, all customers’ demand must be met, at almost any cost. This in the language of economics suggests that reliability has public goods characteristics.</w:t>
      </w:r>
    </w:p>
    <w:p>
      <w:pPr>
        <w:pStyle w:val="ListBullet1"/>
        <w:numPr>
          <w:ilvl w:val="1"/>
          <w:numId w:val="7"/>
        </w:numPr>
        <w:rPr>
          <w:lang w:val="en-US"/>
        </w:rPr>
      </w:pPr>
      <w:r>
        <w:rPr>
          <w:b/>
          <w:bCs/>
          <w:i/>
          <w:iCs/>
          <w:lang w:val="en-US"/>
        </w:rPr>
        <w:t xml:space="preserve">Supply constraints: </w:t>
      </w:r>
      <w:r>
        <w:rPr>
          <w:lang w:val="en-US"/>
        </w:rPr>
        <w:t>Electric power cannot be stored and it is consumed when it is produced. The activities of suppliers must be coordinated, so that generation output exactly and continuously meets demand, even in the event of a significant equipment failure. The limitations of current AC technology require that a single party have a coordinating role to ensure that reliability is protected in the short-run. Returning to the language of economics, a purely decentralized electric industry would suffer from coordination failures that cannot be easily addressed in a market context.</w:t>
      </w:r>
      <w:r>
        <w:rPr>
          <w:rStyle w:val="FootnoteCharacters"/>
          <w:rStyle w:val="FootnoteReference"/>
          <w:lang w:val="en-US"/>
        </w:rPr>
        <w:footnoteReference w:id="3"/>
      </w:r>
      <w:r>
        <w:rPr>
          <w:lang w:val="en-US"/>
        </w:rPr>
        <w:t xml:space="preserve"> </w:t>
      </w:r>
    </w:p>
    <w:p>
      <w:pPr>
        <w:pStyle w:val="ListBullet1"/>
        <w:numPr>
          <w:ilvl w:val="1"/>
          <w:numId w:val="7"/>
        </w:numPr>
        <w:rPr>
          <w:lang w:val="en-US"/>
        </w:rPr>
      </w:pPr>
      <w:r>
        <w:rPr>
          <w:b/>
          <w:bCs/>
          <w:i/>
          <w:iCs/>
          <w:lang w:val="en-US"/>
        </w:rPr>
        <w:t xml:space="preserve">Network constraints: </w:t>
      </w:r>
      <w:r>
        <w:rPr>
          <w:lang w:val="en-US"/>
        </w:rPr>
        <w:t>In addition to the requirement that total generation supply must match total demand at all times, a host of transmission constraints must be met. These imply that a coordination problem exists in electricity – e.g. a sale from one party to another on a constrained network will limit the ability of a third party to generate power. Economically these “external costs” must be incorporated in the market system.</w:t>
      </w:r>
    </w:p>
    <w:p>
      <w:pPr>
        <w:pStyle w:val="Normal"/>
        <w:rPr/>
      </w:pPr>
      <w:r>
        <w:rPr>
          <w:lang w:val="en-US"/>
        </w:rPr>
        <w:t xml:space="preserve">Commodities markets provide some valuable lessons on broader market functioning, such as the need for liquid forward markets for price discovery and managing risks. These are discussed in 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However, analogies with other commodities can only be extended too far. Electricity has unusual characteristics that must be addressed in designing workable market structures.</w:t>
      </w:r>
    </w:p>
    <w:p>
      <w:pPr>
        <w:pStyle w:val="Heading2"/>
        <w:ind w:hanging="0" w:start="0"/>
        <w:rPr/>
      </w:pPr>
      <w:r>
        <w:rPr/>
        <w:t>Implications for market design</w:t>
      </w:r>
    </w:p>
    <w:p>
      <w:pPr>
        <w:pStyle w:val="Normal"/>
        <w:rPr/>
      </w:pPr>
      <w:r>
        <w:rPr/>
        <w:t xml:space="preserve">The time structure of modern power markets reflects the physical and engineering realities listed above. Markets differ in what decisions are taken at which point in time, but as real-time approaches, the scope for design differences is diminished. </w:t>
      </w:r>
      <w:r>
        <w:rPr>
          <w:lang w:val="en-US"/>
        </w:rPr>
        <w:t>That is, no matter whether the overall approach is a centralized or a decentralized one, some elements of a market design must stay the same, at least given current technology:</w:t>
      </w:r>
    </w:p>
    <w:p>
      <w:pPr>
        <w:pStyle w:val="Normal"/>
        <w:numPr>
          <w:ilvl w:val="1"/>
          <w:numId w:val="2"/>
        </w:numPr>
        <w:rPr>
          <w:lang w:val="en-US"/>
        </w:rPr>
      </w:pPr>
      <w:r>
        <w:rPr>
          <w:b/>
          <w:bCs/>
          <w:i/>
          <w:iCs/>
          <w:lang w:val="en-US"/>
        </w:rPr>
        <w:t xml:space="preserve">Independent system operator (“ISO”): </w:t>
      </w:r>
      <w:r>
        <w:rPr>
          <w:lang w:val="en-US"/>
        </w:rPr>
        <w:t>As the central coordinating body, the role of an ISO is to maintain reliability of supply to customers in the short run – to ensure that generation matches demand at all times and that network and generation constraints are not exceeded. Given the highly variable nature of demand and the fact that electricity cannot be stored, t</w:t>
      </w:r>
      <w:r>
        <w:rPr/>
        <w:t>here comes a point in time where it is extremely difficult to engage in multilateral coordination of generating units through a market mechanism. At this point in time (at the very latest), coordinating supply and network operations must rest with the ISO.</w:t>
      </w:r>
      <w:r>
        <w:rPr>
          <w:rStyle w:val="FootnoteCharacters"/>
          <w:rStyle w:val="FootnoteReference"/>
        </w:rPr>
        <w:footnoteReference w:id="4"/>
      </w:r>
      <w:r>
        <w:rPr/>
        <w:t xml:space="preserve"> </w:t>
      </w:r>
      <w:r>
        <w:rPr>
          <w:lang w:val="en-US"/>
        </w:rPr>
        <w:t xml:space="preserve">As the body responsible for network operations, the ISO is also best placed to make relevant information available to the market place. </w:t>
      </w:r>
    </w:p>
    <w:p>
      <w:pPr>
        <w:pStyle w:val="Normal"/>
        <w:numPr>
          <w:ilvl w:val="1"/>
          <w:numId w:val="2"/>
        </w:numPr>
        <w:rPr/>
      </w:pPr>
      <w:r>
        <w:rPr>
          <w:b/>
          <w:bCs/>
          <w:i/>
          <w:iCs/>
          <w:lang w:val="en-US"/>
        </w:rPr>
        <w:t xml:space="preserve">Binding market rules: </w:t>
      </w:r>
      <w:r>
        <w:rPr>
          <w:lang w:val="en-US"/>
        </w:rPr>
        <w:t xml:space="preserve">Market rules limit the actions that market participants, specifically generators, may take. The fact that complex demand and supply activities must be coordinated continuously implies that market participants must make commitments that become binding at some point in time before the “real-time” operation of the power system. </w:t>
      </w:r>
    </w:p>
    <w:p>
      <w:pPr>
        <w:pStyle w:val="Heading2"/>
        <w:ind w:hanging="0" w:start="0"/>
        <w:rPr/>
      </w:pPr>
      <w:r>
        <w:rPr/>
        <w:t>Three stages of power market operations</w:t>
      </w:r>
    </w:p>
    <w:p>
      <w:pPr>
        <w:pStyle w:val="Normal"/>
        <w:rPr/>
      </w:pPr>
      <w:r>
        <w:rPr>
          <w:lang w:val="en-US"/>
        </w:rPr>
        <w:t xml:space="preserve">The previous section highlighted limits on the design of power markets that arise out of reliability concerns. Even so, choices remain on how to address some of these concerns. </w:t>
      </w:r>
      <w:r>
        <w:rPr>
          <w:lang w:val="en-US"/>
        </w:rPr>
        <w:fldChar w:fldCharType="begin"/>
      </w:r>
      <w:r>
        <w:rPr>
          <w:lang w:val="en-US"/>
        </w:rPr>
        <w:instrText xml:space="preserve"> REF _Ref512417476 \h </w:instrText>
      </w:r>
      <w:r>
        <w:rPr>
          <w:lang w:val="en-US"/>
        </w:rPr>
        <w:fldChar w:fldCharType="separate"/>
      </w:r>
      <w:r>
        <w:rPr>
          <w:lang w:val="en-US"/>
        </w:rPr>
        <w:t>Figure 1</w:t>
      </w:r>
      <w:r>
        <w:rPr>
          <w:lang w:val="en-US"/>
        </w:rPr>
        <w:fldChar w:fldCharType="end"/>
      </w:r>
      <w:r>
        <w:rPr>
          <w:lang w:val="en-US"/>
        </w:rPr>
        <w:t xml:space="preserve"> broadly outlines the structure of wholesale power markets, in terms of how energy and transmission trades take place over time. For purposes of explanation, the operation of power markets will be discussed in this paper as falling into three categories: forward trading, unit commitment, and dispatch. These are illustrated in </w:t>
      </w:r>
      <w:r>
        <w:rPr>
          <w:lang w:val="en-US"/>
        </w:rPr>
        <w:fldChar w:fldCharType="begin"/>
      </w:r>
      <w:r>
        <w:rPr>
          <w:lang w:val="en-US"/>
        </w:rPr>
        <w:instrText xml:space="preserve"> REF _Ref512417476 \h </w:instrText>
      </w:r>
      <w:r>
        <w:rPr>
          <w:lang w:val="en-US"/>
        </w:rPr>
        <w:fldChar w:fldCharType="separate"/>
      </w:r>
      <w:r>
        <w:rPr>
          <w:lang w:val="en-US"/>
        </w:rPr>
        <w:t>Figure 1</w:t>
      </w:r>
      <w:r>
        <w:rPr>
          <w:lang w:val="en-US"/>
        </w:rPr>
        <w:fldChar w:fldCharType="end"/>
      </w:r>
      <w:r>
        <w:rPr>
          <w:lang w:val="en-US"/>
        </w:rPr>
        <w:t xml:space="preserve">. In practice, markets are more complex, in part because both the timescales and functions of individual market components may overlap. But defining the decisions that must be made in these three stages is useful in setting out the options for RTO and market design: </w:t>
      </w:r>
    </w:p>
    <w:p>
      <w:pPr>
        <w:pStyle w:val="Normal"/>
        <w:numPr>
          <w:ilvl w:val="1"/>
          <w:numId w:val="2"/>
        </w:numPr>
        <w:rPr>
          <w:lang w:val="en-US"/>
        </w:rPr>
      </w:pPr>
      <w:r>
        <w:rPr>
          <w:b/>
          <w:bCs/>
          <w:i/>
          <w:iCs/>
          <w:lang w:val="en-US"/>
        </w:rPr>
        <w:t xml:space="preserve">Forward trading: </w:t>
      </w:r>
      <w:r>
        <w:rPr>
          <w:lang w:val="en-US"/>
        </w:rPr>
        <w:t>Functioning power markets are structured around more than the physical optimization problem itself. Wholesale power operations are risky, and market participants need a complete set of associated competitive financial – forward and spot – markets to manage these risks. These forward markets extend from years forward to the day before (in most cases). Forwards trading is based on convergence with expected spot (e.g. day ahead, hour ahead and real-time) market outcomes.</w:t>
      </w:r>
    </w:p>
    <w:p>
      <w:pPr>
        <w:pStyle w:val="Normal"/>
        <w:numPr>
          <w:ilvl w:val="1"/>
          <w:numId w:val="2"/>
        </w:numPr>
        <w:rPr>
          <w:lang w:val="en-US"/>
        </w:rPr>
      </w:pPr>
      <w:r>
        <w:rPr>
          <w:b/>
          <w:bCs/>
          <w:i/>
          <w:iCs/>
          <w:lang w:val="en-US"/>
        </w:rPr>
        <w:t>Unit commitment:</w:t>
      </w:r>
      <w:r>
        <w:rPr>
          <w:lang w:val="en-US"/>
        </w:rPr>
        <w:t xml:space="preserve"> At some point – usually 6-12 hours before operations, suppliers must incur costs in starting units before they are actually needed, due to dynamic constraints. The system operator will also usually need to run a check to ensure that enough units are expected to be available to meet load, and that adequate reserves have been procured to meet contingencies. This </w:t>
      </w:r>
      <w:r>
        <w:rPr>
          <w:i/>
          <w:iCs/>
          <w:lang w:val="en-US"/>
        </w:rPr>
        <w:t>unit commitment</w:t>
      </w:r>
      <w:r>
        <w:rPr>
          <w:lang w:val="en-US"/>
        </w:rPr>
        <w:t xml:space="preserve"> phase will also need to ensure that the proposed generation schedule is consistent with expected transmission constraints, so reliability can be protected.</w:t>
      </w:r>
    </w:p>
    <w:p>
      <w:pPr>
        <w:pStyle w:val="Normal"/>
        <w:numPr>
          <w:ilvl w:val="1"/>
          <w:numId w:val="2"/>
        </w:numPr>
        <w:rPr>
          <w:lang w:val="en-US"/>
        </w:rPr>
      </w:pPr>
      <w:r>
        <w:rPr>
          <w:b/>
          <w:bCs/>
          <w:i/>
          <w:iCs/>
          <w:lang w:val="en-US"/>
        </w:rPr>
        <w:t xml:space="preserve">Dispatch: </w:t>
      </w:r>
      <w:r>
        <w:rPr>
          <w:lang w:val="en-US"/>
        </w:rPr>
        <w:t>In the dispatch phase, no more supply can be made available due to ramp and start-time constraints. The role of the system operator is to use the flexible resources available to meet short-run variations in supply and demand.</w:t>
      </w:r>
    </w:p>
    <w:p>
      <w:pPr>
        <w:pStyle w:val="Caption"/>
        <w:keepNext w:val="true"/>
        <w:pBdr>
          <w:top w:val="single" w:sz="4" w:space="1" w:color="000000"/>
          <w:left w:val="single" w:sz="4" w:space="4" w:color="000000"/>
          <w:bottom w:val="single" w:sz="4" w:space="1" w:color="000000"/>
          <w:right w:val="single" w:sz="4" w:space="4" w:color="000000"/>
        </w:pBdr>
        <w:rPr/>
      </w:pPr>
      <w:bookmarkStart w:id="7" w:name="_Ref512417476"/>
      <w:r>
        <w:rPr/>
        <w:t xml:space="preserve">Figure </w:t>
      </w:r>
      <w:r>
        <w:rPr/>
        <w:fldChar w:fldCharType="begin"/>
      </w:r>
      <w:r>
        <w:rPr/>
        <w:instrText xml:space="preserve"> SEQ Figure \* ARABIC </w:instrText>
      </w:r>
      <w:r>
        <w:rPr/>
        <w:fldChar w:fldCharType="separate"/>
      </w:r>
      <w:r>
        <w:rPr/>
        <w:t>1</w:t>
      </w:r>
      <w:r>
        <w:rPr/>
        <w:fldChar w:fldCharType="end"/>
      </w:r>
      <w:bookmarkEnd w:id="7"/>
      <w:r>
        <w:rPr/>
        <w:t>: Three components of electricity markets</w:t>
      </w:r>
    </w:p>
    <w:p>
      <w:pPr>
        <w:pStyle w:val="Normal"/>
        <w:pBdr>
          <w:top w:val="single" w:sz="4" w:space="1" w:color="000000"/>
          <w:left w:val="single" w:sz="4" w:space="4" w:color="000000"/>
          <w:bottom w:val="single" w:sz="4" w:space="1" w:color="000000"/>
          <w:right w:val="single" w:sz="4" w:space="4" w:color="000000"/>
        </w:pBdr>
        <w:jc w:val="center"/>
        <w:rPr>
          <w:lang w:val="en-US"/>
        </w:rPr>
      </w:pPr>
      <w:r>
        <w:rPr/>
        <w:drawing>
          <wp:inline distT="0" distB="0" distL="0" distR="0">
            <wp:extent cx="4394200" cy="311086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1"/>
                    <a:srcRect l="-5" t="-7" r="-5" b="-7"/>
                    <a:stretch>
                      <a:fillRect/>
                    </a:stretch>
                  </pic:blipFill>
                  <pic:spPr bwMode="auto">
                    <a:xfrm>
                      <a:off x="0" y="0"/>
                      <a:ext cx="4394200" cy="3110865"/>
                    </a:xfrm>
                    <a:prstGeom prst="rect">
                      <a:avLst/>
                    </a:prstGeom>
                    <a:noFill/>
                  </pic:spPr>
                </pic:pic>
              </a:graphicData>
            </a:graphic>
          </wp:inline>
        </w:drawing>
      </w:r>
    </w:p>
    <w:p>
      <w:pPr>
        <w:pStyle w:val="Normal"/>
        <w:rPr/>
      </w:pPr>
      <w:bookmarkStart w:id="8" w:name="_Ref511466916"/>
      <w:bookmarkEnd w:id="8"/>
      <w:r>
        <w:rPr/>
        <w:t xml:space="preserve">The following two sections will explore the economic drivers of market design for forward trading (Section </w:t>
      </w:r>
      <w:r>
        <w:rPr/>
        <w:fldChar w:fldCharType="begin"/>
      </w:r>
      <w:r>
        <w:rPr/>
        <w:instrText xml:space="preserve"> REF _Ref512436805 \r \r \h </w:instrText>
      </w:r>
      <w:r>
        <w:rPr/>
        <w:fldChar w:fldCharType="separate"/>
      </w:r>
      <w:r>
        <w:rPr/>
        <w:t>3</w:t>
      </w:r>
      <w:r>
        <w:rPr/>
        <w:fldChar w:fldCharType="end"/>
      </w:r>
      <w:r>
        <w:rPr/>
        <w:t xml:space="preserve">) and unit commitment and dispatch (Section </w:t>
      </w:r>
      <w:r>
        <w:rPr/>
        <w:fldChar w:fldCharType="begin"/>
      </w:r>
      <w:r>
        <w:rPr/>
        <w:instrText xml:space="preserve"> REF _Ref512698141 \r \r \h </w:instrText>
      </w:r>
      <w:r>
        <w:rPr/>
        <w:fldChar w:fldCharType="separate"/>
      </w:r>
      <w:r>
        <w:rPr/>
        <w:t>4</w:t>
      </w:r>
      <w:r>
        <w:rPr/>
        <w:fldChar w:fldCharType="end"/>
      </w:r>
      <w:r>
        <w:rPr/>
        <w:t>)</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pPr>
      <w:r>
        <w:rPr/>
      </w:r>
    </w:p>
    <w:p>
      <w:pPr>
        <w:pStyle w:val="Heading1"/>
        <w:ind w:hanging="0" w:start="0"/>
        <w:rPr/>
      </w:pPr>
      <w:bookmarkStart w:id="9" w:name="_Ref511466916"/>
      <w:bookmarkStart w:id="10" w:name="__RefHeading___Toc512698176"/>
      <w:bookmarkStart w:id="11" w:name="_Ref512436805"/>
      <w:bookmarkEnd w:id="9"/>
      <w:bookmarkEnd w:id="10"/>
      <w:r>
        <w:rPr/>
        <w:t>Forward markets, liquidity and price discovery</w:t>
      </w:r>
      <w:bookmarkEnd w:id="11"/>
    </w:p>
    <w:p>
      <w:pPr>
        <w:pStyle w:val="Normal"/>
        <w:rPr/>
      </w:pPr>
      <w:r>
        <w:rPr/>
        <w:t xml:space="preserve">This section reviews the interactions between forward and spot (real-time) markets in electricity. It draws on the insights gained from the economic analysis of other commodities markets, whose liquidity and robustness has often greatly exceeded what has been achieved in power markets. </w:t>
      </w:r>
      <w:r>
        <w:rPr>
          <w:lang w:val="en-US"/>
        </w:rPr>
        <w:t xml:space="preserve">Many observers of recent events in U.S. power markets have pointed out the limitations of relying only on spot markets to procure electricity for customers, with little or no forward contracting or hedging. Forward markets are critical for market efficiency and competitiveness. The benefits of forward markets extend substantially beyond improved price stability and predictability, to include strengthened competition and efficiency incentives, as well as improved price discovery: </w:t>
      </w:r>
    </w:p>
    <w:p>
      <w:pPr>
        <w:pStyle w:val="ListBullet1"/>
        <w:numPr>
          <w:ilvl w:val="0"/>
          <w:numId w:val="29"/>
        </w:numPr>
        <w:rPr/>
      </w:pPr>
      <w:r>
        <w:rPr>
          <w:b/>
          <w:bCs/>
          <w:i/>
          <w:iCs/>
        </w:rPr>
        <w:t xml:space="preserve">Risk management: </w:t>
      </w:r>
      <w:r>
        <w:rPr/>
        <w:t xml:space="preserve">Market participants – both generators and load serving entities (“LSEs”) – need forward markets to reconcile the risks associated with variable revenues and costs arising from volatile spot markets, with fixed commitments, for instance those that arise from serving (default) customers at fixed rates. </w:t>
      </w:r>
    </w:p>
    <w:p>
      <w:pPr>
        <w:pStyle w:val="ListBullet1"/>
        <w:numPr>
          <w:ilvl w:val="0"/>
          <w:numId w:val="29"/>
        </w:numPr>
        <w:rPr/>
      </w:pPr>
      <w:r>
        <w:rPr>
          <w:b/>
          <w:bCs/>
          <w:i/>
          <w:iCs/>
        </w:rPr>
        <w:t xml:space="preserve">Tariff design: </w:t>
      </w:r>
      <w:r>
        <w:rPr/>
        <w:t>Forward prices are the most economically efficient basis for setting forward-looking retail tariffs for default service customers. Unlike spot price averages, forward prices provide a measure of the expected value of electricity and capacity while there is still time for consumers to respond. Averaged spot prices do not.</w:t>
      </w:r>
    </w:p>
    <w:p>
      <w:pPr>
        <w:pStyle w:val="ListBullet1"/>
        <w:numPr>
          <w:ilvl w:val="0"/>
          <w:numId w:val="29"/>
        </w:numPr>
        <w:rPr/>
      </w:pPr>
      <w:r>
        <w:rPr>
          <w:b/>
          <w:bCs/>
          <w:i/>
          <w:iCs/>
        </w:rPr>
        <w:t xml:space="preserve">Controlling market power: </w:t>
      </w:r>
      <w:r>
        <w:rPr/>
        <w:t>Forward contracting on the part of generators – either enforced or voluntary – provides limitations on generator market power. There are two aspects to this. If forward markets are robust, consumers (or LSEs) are not forced to buy power at the last minute, when supply shortfalls are apparent to all market participants and purchasers’ bargaining positions are weakened. Second, the existence of forward markets also helps undermine generator withholding and gaming strategies by making contracted parties neutral or averse to high price outcomes.</w:t>
      </w:r>
      <w:r>
        <w:rPr>
          <w:rStyle w:val="FootnoteCharacters"/>
          <w:rStyle w:val="FootnoteReference"/>
        </w:rPr>
        <w:footnoteReference w:id="5"/>
      </w:r>
    </w:p>
    <w:p>
      <w:pPr>
        <w:pStyle w:val="ListBullet1"/>
        <w:numPr>
          <w:ilvl w:val="0"/>
          <w:numId w:val="29"/>
        </w:numPr>
        <w:rPr/>
      </w:pPr>
      <w:r>
        <w:rPr>
          <w:b/>
          <w:bCs/>
          <w:i/>
          <w:iCs/>
        </w:rPr>
        <w:t xml:space="preserve">Price discovery: </w:t>
      </w:r>
      <w:r>
        <w:rPr/>
        <w:t xml:space="preserve">Forward markets are the primary mechanism for efficient price discovery in commodity markets. In contrast, a key feature of most U.S. power markets to date has been the limited extent of forward price discovery. This is a source of concern – price discovery via the forward markets provides a signal for new investment and lowers the risks for new entry. </w:t>
      </w:r>
    </w:p>
    <w:p>
      <w:pPr>
        <w:pStyle w:val="Heading2"/>
        <w:ind w:hanging="0" w:start="0"/>
        <w:rPr/>
      </w:pPr>
      <w:r>
        <w:rPr/>
        <w:t>Market convergence</w:t>
      </w:r>
    </w:p>
    <w:p>
      <w:pPr>
        <w:pStyle w:val="Normal"/>
        <w:spacing w:before="0" w:after="120"/>
        <w:rPr/>
      </w:pPr>
      <w:r>
        <w:rPr/>
        <w:t xml:space="preserve">Forward markets must be designed to insure that the forward price converges to a relevant spot price, that is, some real-time price used to settle imbalance transactions between traders. Hence, efficient </w:t>
      </w:r>
      <w:r>
        <w:rPr>
          <w:lang w:val="en-US"/>
        </w:rPr>
        <w:t xml:space="preserve">spot markets are the bedrock of any forward market, in any commodity. Inefficiencies, rigidities, or frictions in the operation of spot markets impair the liquidity, informativeness and efficiency of forward markets. </w:t>
      </w:r>
    </w:p>
    <w:p>
      <w:pPr>
        <w:pStyle w:val="Normal"/>
        <w:spacing w:before="0" w:after="120"/>
        <w:rPr/>
      </w:pPr>
      <w:r>
        <w:rPr/>
        <w:t>Convergence between forward and spot markets can be achieved through the choice of a contract settlement mechanism. Electricity forward markets are typically cash settled. In a cash-settled system, the value of a forward price at expiration is set equal to a cash price determined from market transactions or bids. Hence, failure to deliver contracted for power at a certain time or place exposes market participants to the spot market price for power. The alternative to cash settlement is delivery settlement.</w:t>
      </w:r>
      <w:r>
        <w:rPr>
          <w:rStyle w:val="FootnoteCharacters"/>
          <w:rStyle w:val="FootnoteReference"/>
        </w:rPr>
        <w:footnoteReference w:id="6"/>
      </w:r>
    </w:p>
    <w:p>
      <w:pPr>
        <w:pStyle w:val="Normal"/>
        <w:spacing w:before="0" w:after="120"/>
        <w:rPr/>
      </w:pPr>
      <w:r>
        <w:rPr/>
        <w:t xml:space="preserve">Delivery settlement and cash settlement ensure that forward prices converge to some spot price. The important issue in the context of RTO design is whether this spot price: </w:t>
      </w:r>
    </w:p>
    <w:p>
      <w:pPr>
        <w:pStyle w:val="Normal"/>
        <w:numPr>
          <w:ilvl w:val="0"/>
          <w:numId w:val="26"/>
        </w:numPr>
        <w:spacing w:before="0" w:after="120"/>
        <w:rPr/>
      </w:pPr>
      <w:r>
        <w:rPr/>
        <w:t xml:space="preserve">reflects fundamental supply and demand conditions in a market; </w:t>
      </w:r>
    </w:p>
    <w:p>
      <w:pPr>
        <w:pStyle w:val="Normal"/>
        <w:numPr>
          <w:ilvl w:val="0"/>
          <w:numId w:val="26"/>
        </w:numPr>
        <w:spacing w:before="0" w:after="120"/>
        <w:rPr/>
      </w:pPr>
      <w:r>
        <w:rPr/>
        <w:t xml:space="preserve">is not distorted by manipulative actions on the part of market participants; or </w:t>
      </w:r>
    </w:p>
    <w:p>
      <w:pPr>
        <w:pStyle w:val="Normal"/>
        <w:numPr>
          <w:ilvl w:val="0"/>
          <w:numId w:val="26"/>
        </w:numPr>
        <w:spacing w:before="0" w:after="120"/>
        <w:rPr/>
      </w:pPr>
      <w:r>
        <w:rPr/>
        <w:t>is not distorted by technical conditions that cause spurious movements unrelated to fundamental conditions.</w:t>
      </w:r>
    </w:p>
    <w:p>
      <w:pPr>
        <w:pStyle w:val="Normal"/>
        <w:spacing w:before="0" w:after="120"/>
        <w:rPr/>
      </w:pPr>
      <w:r>
        <w:rPr/>
        <w:t xml:space="preserve">The design of the RTO real-time price is critical not only for the small volumes of energy traded in these markets, but also for the much larger volumes of power traded in forward markets (from day-ahead to years ahead) that converge to these real-time market prices. Mandating delivery in an inefficient spot market, or tying cash-settlement values to prices derived from an inefficient spot market, can make forward prices susceptible to fluctuations attributable to manipulative or technical forces, rather than fundamental supply and demand changes. </w:t>
      </w:r>
    </w:p>
    <w:p>
      <w:pPr>
        <w:pStyle w:val="Normal"/>
        <w:spacing w:before="0" w:after="120"/>
        <w:rPr/>
      </w:pPr>
      <w:r>
        <w:rPr/>
        <w:t>Key economic conditions that facilitate convergence to spot prices that reflect fundamental conditions include:</w:t>
      </w:r>
    </w:p>
    <w:p>
      <w:pPr>
        <w:pStyle w:val="Normal"/>
        <w:numPr>
          <w:ilvl w:val="0"/>
          <w:numId w:val="6"/>
        </w:numPr>
        <w:spacing w:before="0" w:after="120"/>
        <w:rPr/>
      </w:pPr>
      <w:r>
        <w:rPr>
          <w:b/>
          <w:bCs/>
          <w:i/>
          <w:iCs/>
        </w:rPr>
        <w:t>Price-elastic supply:</w:t>
      </w:r>
      <w:r>
        <w:rPr/>
        <w:t xml:space="preserve"> If supply to the delivery market is inelastic, a firm that accumulates a large forward position can cause prices to become “artificial” (i.e., to differ from their competitive values) by manipulating the market. Moreover, with inelastic supply, minor technical features in the delivery market – such as the well-known “step jumps” in aggregate generation supply curves – can cause sharp price movements that do not reflect broader supply and demand conditions. </w:t>
      </w:r>
    </w:p>
    <w:p>
      <w:pPr>
        <w:pStyle w:val="Normal"/>
        <w:numPr>
          <w:ilvl w:val="0"/>
          <w:numId w:val="6"/>
        </w:numPr>
        <w:spacing w:before="0" w:after="120"/>
        <w:rPr/>
      </w:pPr>
      <w:r>
        <w:rPr>
          <w:b/>
          <w:bCs/>
          <w:i/>
          <w:iCs/>
        </w:rPr>
        <w:t>Large numbers of buyers and sellers/competitive market conditions:</w:t>
      </w:r>
      <w:r>
        <w:rPr>
          <w:rStyle w:val="FootnoteCharacters"/>
          <w:rStyle w:val="FootnoteReference"/>
        </w:rPr>
        <w:footnoteReference w:id="7"/>
      </w:r>
      <w:r>
        <w:rPr/>
        <w:t xml:space="preserve"> In the absence of large numbers market participants and competitive market conditions, prices are subject to noisy fluctuations due to a lack of market liquidity and transient random fluctuations in buyer and/or seller participation in the market.</w:t>
      </w:r>
    </w:p>
    <w:p>
      <w:pPr>
        <w:pStyle w:val="Normal"/>
        <w:spacing w:before="0" w:after="120"/>
        <w:rPr/>
      </w:pPr>
      <w:r>
        <w:rPr/>
        <w:t xml:space="preserve">In forward and futures markets for storable physical commodities such as corn or oil, convergence is facilitated by requiring delivery in a location (or locations) near major transportation arteries for the commodity. This contributes to supply elasticity and the presence of large numbers of competitive buyers and sellers. </w:t>
      </w:r>
    </w:p>
    <w:p>
      <w:pPr>
        <w:pStyle w:val="Normal"/>
        <w:spacing w:before="0" w:after="120"/>
        <w:rPr/>
      </w:pPr>
      <w:r>
        <w:rPr/>
        <w:t>Cash settlement requires the existence of transparent spot markets in which actual transactions prices are widely observed. All successful cash settled futures markets “piggy-back” of existing spot markets that are highly transparent. In the stock markets, for instance, cash-settled futures contracts can be settled using prices determined in the liquid, transparent, and highly competitive cash stock markets (e.g., the NYSE and NASDAQ). Cash settlement is not feasible in markets that are dominated by bilateral transactions and that lack centralized collection and dissemination of price information by a credible authority with no stake in the market. Cash settlement mechanisms that rely on self-reporting of transactions by market participants are acutely susceptible to misreporting and selective reporting of transactions. Misreporting and selective reporting undermine the credibility of the settlement index.</w:t>
      </w:r>
    </w:p>
    <w:p>
      <w:pPr>
        <w:pStyle w:val="Normal"/>
        <w:spacing w:before="0" w:after="120"/>
        <w:rPr/>
      </w:pPr>
      <w:r>
        <w:rPr/>
        <w:t xml:space="preserve">In the context of RTOs, this means that cash settlement is feasible in relatively large, transparent real-time markets operated by ISOs who are perceived to be independent, but is not feasible in RTOs that lack a credible real-time market. In regions lacking a transparent spot market (such as the Midwest), it is necessary to rely on delivery settled forwards. </w:t>
      </w:r>
    </w:p>
    <w:p>
      <w:pPr>
        <w:pStyle w:val="Heading2"/>
        <w:ind w:hanging="0" w:start="0"/>
        <w:rPr/>
      </w:pPr>
      <w:r>
        <w:rPr/>
        <w:t xml:space="preserve">Forward markets and market power </w:t>
      </w:r>
    </w:p>
    <w:p>
      <w:pPr>
        <w:pStyle w:val="Normal"/>
        <w:spacing w:before="0" w:after="120"/>
        <w:rPr/>
      </w:pPr>
      <w:r>
        <w:rPr/>
        <w:t>The uniqueness of power as a commodity (most notably its non-storability) poses special challenges to spot markets. A forward contract that is settled with reference to a cash price from a spot market in which owners of generation exercise market power is susceptible to manipulation. Under these circumstances, spot prices, and hence forward prices at expiration, depend on the contractual positions of generators as well as fundamental supply and demand conditions. The lack of price sensitivity in demand in U.S. markets exacerbates these problems, as small distortions in output attributable to manipulation can have large price effects. This is of particular concern when there are serious constraints on generation and transmission capacity.</w:t>
      </w:r>
    </w:p>
    <w:p>
      <w:pPr>
        <w:pStyle w:val="Normal"/>
        <w:spacing w:before="0" w:after="120"/>
        <w:rPr/>
      </w:pPr>
      <w:r>
        <w:rPr/>
        <w:t xml:space="preserve">This highlights the need for a real-time market that can efficiently address short-run supply and demand balance, transmission and dynamic constraints: </w:t>
      </w:r>
    </w:p>
    <w:p>
      <w:pPr>
        <w:pStyle w:val="ListBullet1"/>
        <w:numPr>
          <w:ilvl w:val="0"/>
          <w:numId w:val="13"/>
        </w:numPr>
        <w:rPr/>
      </w:pPr>
      <w:r>
        <w:rPr>
          <w:b/>
          <w:bCs/>
          <w:i/>
          <w:iCs/>
        </w:rPr>
        <w:t xml:space="preserve">Market power: </w:t>
      </w:r>
      <w:r>
        <w:rPr/>
        <w:t xml:space="preserve">Market power in the real-time market will potentially destroy the scope for forward market development. It is therefore critical that real-time market power be carefully considered – increased prices here will be reflected into </w:t>
      </w:r>
      <w:r>
        <w:rPr>
          <w:i/>
          <w:iCs/>
        </w:rPr>
        <w:t xml:space="preserve">all </w:t>
      </w:r>
      <w:r>
        <w:rPr/>
        <w:t xml:space="preserve">volumes that are traded, not just the small percentage of spot volumes. RTO designers and the FERC need to be aware that the ability to exercise market power in real-time is often much easier than in day-ahead markets – there are generally many fewer plants that can supply energy on short notice. Therefore, even market structures that might meet broad tests of competitiveness – as discussed in Section </w:t>
      </w:r>
      <w:r>
        <w:rPr/>
        <w:fldChar w:fldCharType="begin"/>
      </w:r>
      <w:r>
        <w:rPr/>
        <w:instrText xml:space="preserve"> REF _Ref512089114 \r \r \h </w:instrText>
      </w:r>
      <w:r>
        <w:rPr/>
        <w:fldChar w:fldCharType="separate"/>
      </w:r>
      <w:r>
        <w:rPr/>
        <w:t>6.1</w:t>
      </w:r>
      <w:r>
        <w:rPr/>
        <w:fldChar w:fldCharType="end"/>
      </w:r>
      <w:r>
        <w:rPr/>
        <w:t xml:space="preserve"> – may not provide competitive real-time outcomes.</w:t>
      </w:r>
    </w:p>
    <w:p>
      <w:pPr>
        <w:pStyle w:val="ListBullet1"/>
        <w:numPr>
          <w:ilvl w:val="0"/>
          <w:numId w:val="13"/>
        </w:numPr>
        <w:rPr>
          <w:lang w:val="en-US"/>
        </w:rPr>
      </w:pPr>
      <w:r>
        <w:rPr>
          <w:b/>
          <w:bCs/>
          <w:i/>
          <w:iCs/>
        </w:rPr>
        <w:t xml:space="preserve">Supply diversity in real-time: </w:t>
      </w:r>
      <w:r>
        <w:rPr/>
        <w:t>It is often considered that real-time volumes should only cover a small portion of load. However, this may not support a liquid spot market. All generators should have positive economic incentives to offer bids (such as inc/dec bids) into the real-time market. This is especially critical where there are unresolved market power issues. There should be no “imbalance penalties”, which will keep supply from moving into the real-time market in response to higher or manipulated prices there. These penalties tend to make real-time markets illiquid and easier to manipulate.</w:t>
      </w:r>
    </w:p>
    <w:p>
      <w:pPr>
        <w:pStyle w:val="Heading2"/>
        <w:ind w:hanging="0" w:start="0"/>
        <w:rPr/>
      </w:pPr>
      <w:r>
        <w:rPr/>
        <w:t xml:space="preserve">Transmission congestion </w:t>
      </w:r>
    </w:p>
    <w:p>
      <w:pPr>
        <w:pStyle w:val="Normal"/>
        <w:spacing w:before="0" w:after="120"/>
        <w:rPr/>
      </w:pPr>
      <w:r>
        <w:rPr/>
        <w:t>Efficient power prices reflect the cost of delivering power in different parts of the network and as such incorporate the costs of transmission constraints, as well as losses. While forward energy contracts may insure market participants against inter-temporal price risks, they do not necessarily provide a hedge against locational price differences and constraint risks. At the same time, market participants seeking a complete hedge clearly have an interest in entering into some form of forward trading arrangement that addresses both types of risks. In consequence, there has been a long debate about the merits of “physical” versus “financial” transmission congestion contracts as a means of managing price risks:</w:t>
      </w:r>
    </w:p>
    <w:p>
      <w:pPr>
        <w:pStyle w:val="ListBullet1"/>
        <w:numPr>
          <w:ilvl w:val="0"/>
          <w:numId w:val="8"/>
        </w:numPr>
        <w:spacing w:before="0" w:after="120"/>
        <w:rPr/>
      </w:pPr>
      <w:r>
        <w:rPr>
          <w:b/>
          <w:bCs/>
          <w:i/>
          <w:iCs/>
        </w:rPr>
        <w:t>Transmission congestion contracts (“TCCs”)</w:t>
      </w:r>
      <w:r>
        <w:rPr/>
        <w:t>: TCCs pay the holder the spot price difference between nodes and can be defined for any pair of nodes in a network. These are essentially contracts for energy delivered at a specific network location and point in time. The cost of congestion is priced as a by-product. Implicit within this formulation is a centralized commitment and dispatch mechanism.</w:t>
      </w:r>
      <w:r>
        <w:rPr>
          <w:rStyle w:val="FootnoteCharacters"/>
          <w:rStyle w:val="FootnoteReference"/>
        </w:rPr>
        <w:footnoteReference w:id="8"/>
      </w:r>
      <w:r>
        <w:rPr/>
        <w:t xml:space="preserve"> </w:t>
      </w:r>
    </w:p>
    <w:p>
      <w:pPr>
        <w:pStyle w:val="ListBullet1"/>
        <w:numPr>
          <w:ilvl w:val="0"/>
          <w:numId w:val="8"/>
        </w:numPr>
        <w:spacing w:before="0" w:after="120"/>
        <w:rPr/>
      </w:pPr>
      <w:r>
        <w:rPr>
          <w:b/>
          <w:bCs/>
          <w:i/>
          <w:iCs/>
        </w:rPr>
        <w:t xml:space="preserve">Physical transmission contracts: </w:t>
      </w:r>
      <w:r>
        <w:rPr/>
        <w:t>These explicitly price scarce transmission capacity and are separate and additional to energy forward contracts. The physical contracts proposed by Chao and Peck and the more recent flow right or flowgate proposals are examples of physical transmission right mechanisms.</w:t>
      </w:r>
      <w:r>
        <w:rPr>
          <w:rStyle w:val="FootnoteCharacters"/>
          <w:rStyle w:val="FootnoteReference"/>
        </w:rPr>
        <w:footnoteReference w:id="9"/>
      </w:r>
      <w:r>
        <w:rPr/>
        <w:t xml:space="preserve"> </w:t>
      </w:r>
    </w:p>
    <w:p>
      <w:pPr>
        <w:pStyle w:val="Normal"/>
        <w:rPr/>
      </w:pPr>
      <w:r>
        <w:rPr/>
        <w:t xml:space="preserve">Under either of these two congestion pricing regimes (and under idealized assumptions), physical outcomes in any given market should be the same and efficient. This, however, may be far from true in actual practice, as is discussed in the next section. Because resolving transmission congestion requires changes in the dispatch profile of generation units, generation schedules are determined simultaneously with valuations of financial or physical transmission rights. A number of RTOs are considering implementing physical forward trading regimes, although there are substantial technical and organizational obstacles to be overcome. At the same time, trading in financial transmission contracts has to date been illiquid and inefficient. This, in turn, has hindered the development of forward energy markets. </w:t>
      </w:r>
    </w:p>
    <w:p>
      <w:pPr>
        <w:pStyle w:val="Normal"/>
        <w:rPr>
          <w:lang w:val="en-US"/>
        </w:rPr>
      </w:pPr>
      <w:r>
        <w:rPr>
          <w:lang w:val="en-US"/>
        </w:rPr>
        <w:t>The potential role of an ISO also differs depending on the type of forward transmission rights regime considered:</w:t>
      </w:r>
    </w:p>
    <w:p>
      <w:pPr>
        <w:pStyle w:val="ListBullet1"/>
        <w:numPr>
          <w:ilvl w:val="0"/>
          <w:numId w:val="19"/>
        </w:numPr>
        <w:rPr>
          <w:lang w:val="en-US"/>
        </w:rPr>
      </w:pPr>
      <w:r>
        <w:rPr>
          <w:b/>
          <w:bCs/>
          <w:i/>
          <w:iCs/>
          <w:lang w:val="en-US"/>
        </w:rPr>
        <w:t xml:space="preserve">Financial contract markets: </w:t>
      </w:r>
      <w:r>
        <w:rPr>
          <w:lang w:val="en-US"/>
        </w:rPr>
        <w:t>Financial transmission rights models implemented to date have the ISO as the financial counterparty to transmission hedging transactions. This has occurred as the ISO is in some way the natural counterparty to transmission transactions – the surplus it receives from paying generators their locational prices and selling to loads at their locational prices is equal and opposite to the sum of transmission congestion costs faced by traders, under certain assumptions. The financial incentives for RTOs/ISOs in offering TCCs have not been fully explored in current market designs.</w:t>
      </w:r>
    </w:p>
    <w:p>
      <w:pPr>
        <w:pStyle w:val="ListBullet1"/>
        <w:numPr>
          <w:ilvl w:val="0"/>
          <w:numId w:val="19"/>
        </w:numPr>
        <w:rPr>
          <w:lang w:val="en-US"/>
        </w:rPr>
      </w:pPr>
      <w:r>
        <w:rPr>
          <w:b/>
          <w:bCs/>
          <w:i/>
          <w:iCs/>
          <w:lang w:val="en-US"/>
        </w:rPr>
        <w:t>Physical contract markets:</w:t>
      </w:r>
      <w:r>
        <w:rPr>
          <w:lang w:val="en-US"/>
        </w:rPr>
        <w:t xml:space="preserve"> Such rights are closely related to actual network capacity, so that the trading equilibrium produces generation schedules that are technically feasible. Difficulties arise when the number of potential constraints is high. These structures place more constraints on the ISO as the key body coordinating network and generating activities, and would in general require a higher degree of ISO information disclosure on expected network conditions.  </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vertAlign w:val="subscript"/>
          <w:lang w:val="en-US"/>
        </w:rPr>
      </w:pPr>
      <w:r>
        <w:rPr>
          <w:rFonts w:eastAsia="Book Antiqua"/>
          <w:lang w:val="en-US"/>
        </w:rPr>
        <w:t xml:space="preserve"> </w:t>
      </w:r>
    </w:p>
    <w:p>
      <w:pPr>
        <w:pStyle w:val="Heading1"/>
        <w:ind w:hanging="0" w:start="0"/>
        <w:rPr/>
      </w:pPr>
      <w:bookmarkStart w:id="12" w:name="__RefHeading___Toc512698177"/>
      <w:bookmarkStart w:id="13" w:name="_Ref512698141"/>
      <w:bookmarkStart w:id="14" w:name="_Ref512668720"/>
      <w:bookmarkEnd w:id="12"/>
      <w:r>
        <w:rPr/>
        <w:t>Design of spot markets</w:t>
      </w:r>
      <w:bookmarkEnd w:id="13"/>
      <w:bookmarkEnd w:id="14"/>
    </w:p>
    <w:p>
      <w:pPr>
        <w:pStyle w:val="Normal"/>
        <w:rPr/>
      </w:pPr>
      <w:r>
        <w:rPr>
          <w:lang w:val="en-US"/>
        </w:rPr>
        <w:t xml:space="preserve">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xml:space="preserve"> focused on the need for efficient spot markets as a basis for well-functioning forward markets. In electricity, a spot market, such as a real-time imbalance market, reflects the instantaneous demand–supply balance, but also many activities that have gone on before real-time. That is, in order to derive a meaningful real-time price for energy, generators must have been committed to start-up in time to meet load and must subsequently have been dispatched (independently or by the ISO). Decisions that have been taken an hour or a day or a week before real-time hence have a potential impact on spot market prices. </w:t>
      </w:r>
    </w:p>
    <w:p>
      <w:pPr>
        <w:pStyle w:val="Normal"/>
        <w:rPr/>
      </w:pPr>
      <w:r>
        <w:rPr>
          <w:lang w:val="en-US"/>
        </w:rPr>
        <w:t xml:space="preserve">This section reviews the options for managing the second and third stages of power market operations: unit commitment and dispatch. These options are analyzed with a view to achieving an outcome – real-time prices – that combines economic efficiency with ease of implementation and transparency. </w:t>
      </w:r>
      <w:r>
        <w:rPr/>
        <w:t xml:space="preserve"> </w:t>
      </w:r>
    </w:p>
    <w:p>
      <w:pPr>
        <w:pStyle w:val="Heading2"/>
        <w:ind w:hanging="0" w:start="0"/>
        <w:rPr/>
      </w:pPr>
      <w:r>
        <w:rPr/>
        <w:t>Unit commitment</w:t>
      </w:r>
    </w:p>
    <w:p>
      <w:pPr>
        <w:pStyle w:val="Normal"/>
        <w:rPr>
          <w:lang w:val="en-US"/>
        </w:rPr>
      </w:pPr>
      <w:r>
        <w:rPr>
          <w:lang w:val="en-US"/>
        </w:rPr>
        <w:t>The essence of the unit commitment question is simple to formulate: what suppliers should plan to provide power in a future period (e.g. in the next day), given their cost characteristics, dynamic constraints (e.g. ramp rates, minimum on and off-times) and expected transmission network constraints.</w:t>
      </w:r>
    </w:p>
    <w:p>
      <w:pPr>
        <w:pStyle w:val="Normal"/>
        <w:rPr>
          <w:lang w:val="en-US"/>
        </w:rPr>
      </w:pPr>
      <w:r>
        <w:rPr>
          <w:lang w:val="en-US"/>
        </w:rPr>
        <w:t>There are two basic frameworks for transmission-constrained unit commitment: decentralized and centralized. These are discussed briefly in turn.</w:t>
      </w:r>
    </w:p>
    <w:p>
      <w:pPr>
        <w:pStyle w:val="Heading3"/>
        <w:ind w:hanging="0" w:start="0"/>
        <w:rPr/>
      </w:pPr>
      <w:r>
        <w:rPr/>
        <w:t>Decentralized unit commitment</w:t>
      </w:r>
    </w:p>
    <w:p>
      <w:pPr>
        <w:pStyle w:val="Normal"/>
        <w:rPr>
          <w:lang w:val="en-US"/>
        </w:rPr>
      </w:pPr>
      <w:r>
        <w:rPr>
          <w:lang w:val="en-US"/>
        </w:rPr>
        <w:t>Many of the current RTO proposals rely on trading in flow rights (also called flowgate rights) to achieve day ahead schedules that are consistent with expected transmission constraints. Economically, flow right proposals rely on defining “property rights” to create flows on potentially constrained network elements. Trading in a secondary market for these rights should in theory produce efficient generation schedules that reflect expected transmission constraints. The resulting prices for flow rights represent the economic costs of congestion.</w:t>
      </w:r>
    </w:p>
    <w:p>
      <w:pPr>
        <w:pStyle w:val="Normal"/>
        <w:rPr>
          <w:lang w:val="en-US"/>
        </w:rPr>
      </w:pPr>
      <w:r>
        <w:rPr>
          <w:lang w:val="en-US"/>
        </w:rPr>
        <w:t xml:space="preserve">The ISO in the decentralized framework must provide market participants with network information and verify trading schedules, but its role is diminished from what it would be in a centralized market. </w:t>
      </w:r>
    </w:p>
    <w:p>
      <w:pPr>
        <w:pStyle w:val="Normal"/>
        <w:rPr>
          <w:lang w:val="en-US"/>
        </w:rPr>
      </w:pPr>
      <w:r>
        <w:rPr>
          <w:lang w:val="en-US"/>
        </w:rPr>
        <w:t xml:space="preserve">The flow rights model has theoretical and intuitive advantages; however, even its advocates concede that the economic assumptions required for efficient trading are likely to be far from minimal. The most serious questions relate to the complexity of trading arrangements if the number of rights that must be traded to reflect transmission constraints is high. This complexity (and resulting transactions costs) would tend to undermine the efficient functioning of the market. </w:t>
      </w:r>
    </w:p>
    <w:p>
      <w:pPr>
        <w:pStyle w:val="Normal"/>
        <w:rPr/>
      </w:pPr>
      <w:r>
        <w:rPr>
          <w:lang w:val="en-US"/>
        </w:rPr>
        <w:t>Within the U.S., various efforts are underway to implement a workable version of the decentralized trading approach, but progress appears to have been limited to date. In the case of the flowgate approach proposed by GridFlorida the Commission has made it clear that the RTO applicants have failed to address the many complex issues that arise in implementing such a decentralized congestion management approach.</w:t>
      </w:r>
      <w:r>
        <w:rPr>
          <w:rStyle w:val="FootnoteCharacters"/>
          <w:rStyle w:val="FootnoteReference"/>
          <w:lang w:val="en-US"/>
        </w:rPr>
        <w:footnoteReference w:id="10"/>
      </w:r>
      <w:r>
        <w:rPr>
          <w:lang w:val="en-US"/>
        </w:rPr>
        <w:t xml:space="preserve"> </w:t>
      </w:r>
    </w:p>
    <w:p>
      <w:pPr>
        <w:pStyle w:val="Normal"/>
        <w:rPr>
          <w:lang w:val="en-US"/>
        </w:rPr>
      </w:pPr>
      <w:r>
        <w:rPr>
          <w:lang w:val="en-US"/>
        </w:rPr>
        <w:t xml:space="preserve">This cautious approach is likely to be appropriate. Many questions remain about the practical implementation of flow right models. Given these unresolved practical concerns, the better option is to put in place robust centralized unit commitment and dispatch processes that can be augmented by decentralized allocation mechanisms for transmission capacity at a point in time, when concerns about reliability and the efficiency of market operations have been properly addressed. </w:t>
      </w:r>
    </w:p>
    <w:p>
      <w:pPr>
        <w:pStyle w:val="Heading3"/>
        <w:ind w:hanging="0" w:start="0"/>
        <w:rPr/>
      </w:pPr>
      <w:r>
        <w:rPr/>
        <w:t>Centralized unit commitment</w:t>
      </w:r>
    </w:p>
    <w:p>
      <w:pPr>
        <w:pStyle w:val="Normal"/>
        <w:rPr>
          <w:lang w:val="en-US"/>
        </w:rPr>
      </w:pPr>
      <w:r>
        <w:rPr>
          <w:lang w:val="en-US"/>
        </w:rPr>
        <w:t xml:space="preserve">The alternative to the traded rights approach is a centralized optimization mechanism, which takes in the bids of suppliers and loads and calculates day ahead generation and load schedules. Such mechanisms can directly produce locational marginal prices (LMPs), as the shadow price of supply and demand at each point on the network. </w:t>
      </w:r>
    </w:p>
    <w:p>
      <w:pPr>
        <w:pStyle w:val="Normal"/>
        <w:rPr/>
      </w:pPr>
      <w:r>
        <w:rPr>
          <w:lang w:val="en-US"/>
        </w:rPr>
        <w:t>Unit commitment – as undertaken by a central optimization program – represents a challenging optimization problem, because of the large number of possible combinations of states of all the generating units in the power system. In considering the approach that should be adopted in respect of unit commitment, the key issue arises in determining the number of variables to be incorporated in the optimization process. The commitment process in the PJM and the New York wholesale power markets includes a range of fixed or incremental costs in the pricing process.</w:t>
      </w:r>
      <w:r>
        <w:rPr>
          <w:rStyle w:val="FootnoteCharacters"/>
          <w:rStyle w:val="FootnoteReference"/>
          <w:lang w:val="en-US"/>
        </w:rPr>
        <w:footnoteReference w:id="11"/>
      </w:r>
      <w:r>
        <w:rPr>
          <w:lang w:val="en-US"/>
        </w:rPr>
        <w:t xml:space="preserve"> Generator bids include not only the cost of providing energy or ancillary services, but also any incremental costs they have to incur to start, shut down or run units at specific operating points. In some other markets, in contrast, suppliers bid only blocks of capacity and associated prices, in up to ten blocks per unit. </w:t>
      </w:r>
    </w:p>
    <w:p>
      <w:pPr>
        <w:pStyle w:val="Normal"/>
        <w:rPr>
          <w:lang w:val="en-US"/>
        </w:rPr>
      </w:pPr>
      <w:r>
        <w:rPr>
          <w:lang w:val="en-US"/>
        </w:rPr>
        <w:t>Essentially there are two alternatives for implementing a centralized bid-based power market – simple bid auctions and multi-part bid auctions. These differ in who is responsible for assessing the effect of start-up and no-load costs, as well as minimum generation levels:</w:t>
      </w:r>
      <w:r>
        <w:rPr>
          <w:rStyle w:val="FootnoteCharacters"/>
          <w:rStyle w:val="FootnoteReference"/>
          <w:lang w:val="en-US"/>
        </w:rPr>
        <w:footnoteReference w:id="12"/>
      </w:r>
    </w:p>
    <w:p>
      <w:pPr>
        <w:pStyle w:val="ListBullet1"/>
        <w:numPr>
          <w:ilvl w:val="1"/>
          <w:numId w:val="20"/>
        </w:numPr>
        <w:rPr>
          <w:lang w:val="en-US"/>
        </w:rPr>
      </w:pPr>
      <w:r>
        <w:rPr>
          <w:lang w:val="en-US"/>
        </w:rPr>
        <w:t xml:space="preserve">A </w:t>
      </w:r>
      <w:r>
        <w:rPr>
          <w:b/>
          <w:bCs/>
          <w:i/>
          <w:iCs/>
          <w:lang w:val="en-US"/>
        </w:rPr>
        <w:t>simple bid auction</w:t>
      </w:r>
      <w:r>
        <w:rPr>
          <w:i/>
          <w:iCs/>
          <w:lang w:val="en-US"/>
        </w:rPr>
        <w:t xml:space="preserve"> </w:t>
      </w:r>
      <w:r>
        <w:rPr>
          <w:lang w:val="en-US"/>
        </w:rPr>
        <w:t xml:space="preserve">is an energy and reserves-only market, where the only information submitted by generators is a single-part schedule of (bid) prices versus quantities of capacity. </w:t>
      </w:r>
    </w:p>
    <w:p>
      <w:pPr>
        <w:pStyle w:val="ListBullet1"/>
        <w:numPr>
          <w:ilvl w:val="1"/>
          <w:numId w:val="20"/>
        </w:numPr>
        <w:rPr>
          <w:lang w:val="en-US"/>
        </w:rPr>
      </w:pPr>
      <w:r>
        <w:rPr>
          <w:lang w:val="en-US"/>
        </w:rPr>
        <w:t xml:space="preserve">A </w:t>
      </w:r>
      <w:r>
        <w:rPr>
          <w:b/>
          <w:bCs/>
          <w:i/>
          <w:iCs/>
          <w:lang w:val="en-US"/>
        </w:rPr>
        <w:t>multi-part bid auction</w:t>
      </w:r>
      <w:r>
        <w:rPr>
          <w:i/>
          <w:iCs/>
          <w:lang w:val="en-US"/>
        </w:rPr>
        <w:t xml:space="preserve"> </w:t>
      </w:r>
      <w:r>
        <w:rPr>
          <w:lang w:val="en-US"/>
        </w:rPr>
        <w:t xml:space="preserve">is a multi-part bid market where, in addition to a schedule of prices versus quantities for energy and reserves, generators submit additional cost information, such as start-up costs or no-load costs. </w:t>
      </w:r>
    </w:p>
    <w:p>
      <w:pPr>
        <w:pStyle w:val="Normal"/>
        <w:rPr>
          <w:lang w:val="en-US"/>
        </w:rPr>
      </w:pPr>
      <w:r>
        <w:rPr>
          <w:lang w:val="en-US"/>
        </w:rPr>
        <w:t xml:space="preserve">In a simple bid auction bidders must incorporate start-up and no-load costs and operating constraints, such as those arising from minimum generation levels in energy bids. The simple bid auction approach then suffers from the requirement that covering startup and other fixed costs places risks on traders. However, the magnitude of these risks is generally manageable, as bidding occurs on a day-to-day basis. As traders learn how the market works one would expect that they would learn to cope with these relatively small risks acceptably. </w:t>
      </w:r>
    </w:p>
    <w:p>
      <w:pPr>
        <w:pStyle w:val="Normal"/>
        <w:rPr>
          <w:lang w:val="en-US"/>
        </w:rPr>
      </w:pPr>
      <w:r>
        <w:rPr>
          <w:lang w:val="en-US"/>
        </w:rPr>
        <w:t>In contrast, the multi-part bid auction approach is to search for theoretically optimal solution to the generator commitment problem. In this type of auction, the bidding of more complex information about the cost function of each generator allows a central auctioneer – in practice this is the ISO – to incorporate all of these costs and constraints and calculate an optimal unit commitment schedule. Yet the practical experience is that the solutions from multi-part bid auctions are likely to fall far short of their objectives. Most importantly, multi-part bid auction implementations tend not to rely on optimal unit commitment software to solve for the optimal unit commitment. That is, in practice the optimal commitment problem solved by the software is only a highly simplified version of the full (and highly complex) optimization. The “optimal” solution promised may not be optimal at all.</w:t>
      </w:r>
    </w:p>
    <w:p>
      <w:pPr>
        <w:pStyle w:val="Normal"/>
        <w:rPr/>
      </w:pPr>
      <w:r>
        <w:rPr>
          <w:lang w:val="en-US"/>
        </w:rPr>
        <w:t>Moreover, simple bid auctions have a significant advantage with respect to their susceptibility to manipulation. This is that the merit function – which ranks generating units in order of ascending costs – and the payment rule – which determines how generating units are paid if they are dispatched – can be based entirely on the energy and reserves bid functions. Hence, the merit function and the payment rule can be made synonymous. Given synonymous merit functions and payment rules, if a generator is committed then its bid must be lower cost than any competitor and this will guarantee that its payment will be lower than would have been paid to any competitor. In practice, the simple bid auction approach is therefore significantly more robust to price manipulation than auctions with more complex bid structures.</w:t>
      </w:r>
      <w:r>
        <w:rPr>
          <w:rStyle w:val="FootnoteCharacters"/>
          <w:rStyle w:val="FootnoteReference"/>
          <w:lang w:val="en-US"/>
        </w:rPr>
        <w:footnoteReference w:id="13"/>
      </w:r>
      <w:r>
        <w:rPr>
          <w:lang w:val="en-US"/>
        </w:rPr>
        <w:t xml:space="preserve"> </w:t>
      </w:r>
    </w:p>
    <w:p>
      <w:pPr>
        <w:pStyle w:val="Heading2"/>
        <w:ind w:hanging="0" w:start="0"/>
        <w:rPr/>
      </w:pPr>
      <w:r>
        <w:rPr/>
        <w:t xml:space="preserve">Dispatch </w:t>
      </w:r>
    </w:p>
    <w:p>
      <w:pPr>
        <w:pStyle w:val="Normal"/>
        <w:rPr>
          <w:lang w:val="en-US"/>
        </w:rPr>
      </w:pPr>
      <w:r>
        <w:rPr>
          <w:lang w:val="en-US"/>
        </w:rPr>
        <w:t xml:space="preserve">Some mechanism is required to maintain reliability close to and during real-time, since it is impossible to forecast actual supply and demand entirely accurately. Some differences must always be covered. The key question addressed in this section relates to the basis on which the ISO should select different suppliers of power. </w:t>
      </w:r>
    </w:p>
    <w:p>
      <w:pPr>
        <w:pStyle w:val="Normal"/>
        <w:rPr>
          <w:lang w:val="en-US"/>
        </w:rPr>
      </w:pPr>
      <w:r>
        <w:rPr>
          <w:lang w:val="en-US"/>
        </w:rPr>
        <w:t xml:space="preserve">Where there are binding network constraints, there may be limited choice as to which power plant is selected to provide additional services. Hence the question of the criteria on which dispatch should be based becomes a moot one. But in the majority of cases, the ISO is faced with a choice of units that could increase or decrease their output in response to dispatch instructions. Real-time dispatch on the basis of price minimizes the overall costs of power generation (productive efficiency). </w:t>
      </w:r>
    </w:p>
    <w:p>
      <w:pPr>
        <w:pStyle w:val="Normal"/>
        <w:rPr>
          <w:lang w:val="en-US"/>
        </w:rPr>
      </w:pPr>
      <w:r>
        <w:rPr>
          <w:lang w:val="en-US"/>
        </w:rPr>
        <w:t>In almost all power market designs the dispatch instructions are incorporated into marginal clearing prices. Where these reflect the impact of transmission constraints the resulting shadow prices are referred to as locational marginal prices (LMPs). Setting real-time prices on the basis of LMPs has several advantages:</w:t>
      </w:r>
    </w:p>
    <w:p>
      <w:pPr>
        <w:pStyle w:val="Normal"/>
        <w:numPr>
          <w:ilvl w:val="0"/>
          <w:numId w:val="15"/>
        </w:numPr>
        <w:rPr>
          <w:lang w:val="en-US"/>
        </w:rPr>
      </w:pPr>
      <w:r>
        <w:rPr>
          <w:b/>
          <w:bCs/>
          <w:i/>
          <w:iCs/>
          <w:lang w:val="en-US"/>
        </w:rPr>
        <w:t xml:space="preserve">Allocative efficiency: </w:t>
      </w:r>
      <w:r>
        <w:rPr>
          <w:lang w:val="en-US"/>
        </w:rPr>
        <w:t xml:space="preserve">Marginal pricing sends the correct price signals to customers, in terms of signaling the cost of additional consumption including the costs of congestion (i.e. re-dispatch of generating units so as not to breach transmission constraints. </w:t>
      </w:r>
    </w:p>
    <w:p>
      <w:pPr>
        <w:pStyle w:val="Normal"/>
        <w:numPr>
          <w:ilvl w:val="0"/>
          <w:numId w:val="15"/>
        </w:numPr>
        <w:rPr>
          <w:b/>
          <w:bCs/>
          <w:i/>
          <w:i/>
          <w:iCs/>
          <w:lang w:val="en-US"/>
        </w:rPr>
      </w:pPr>
      <w:r>
        <w:rPr>
          <w:b/>
          <w:bCs/>
          <w:i/>
          <w:iCs/>
          <w:lang w:val="en-US"/>
        </w:rPr>
        <w:t xml:space="preserve">Incentive compatibility: </w:t>
      </w:r>
      <w:r>
        <w:rPr>
          <w:lang w:val="en-US"/>
        </w:rPr>
        <w:t xml:space="preserve">Setting prices paid to generators on the basis of LMPs makes generators receptive to system operator instructions. Any generator asked to generator is receiving a price </w:t>
      </w:r>
      <w:r>
        <w:rPr>
          <w:i/>
          <w:iCs/>
          <w:lang w:val="en-US"/>
        </w:rPr>
        <w:t>at least as high</w:t>
      </w:r>
      <w:r>
        <w:rPr>
          <w:lang w:val="en-US"/>
        </w:rPr>
        <w:t xml:space="preserve"> as the bid submitted. The ISO is not required to police generators to ensure that they run when instructed.</w:t>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pPr>
      <w:r>
        <w:rPr>
          <w:rFonts w:eastAsia="Book Antiqua"/>
          <w:lang w:val="en-US"/>
        </w:rPr>
        <w:t xml:space="preserve"> </w:t>
      </w:r>
      <w:r>
        <w:rPr/>
        <w:t>The use of LMPs is not costless. Producing and settling large numbers of prices creates transactions costs. Economically, the use of single clearing price auctions may increase the scope for exercising market power by manipulating bids. However, in the context of designing real-time balancing markets for RTOs there is little economic reason to rely on any mechanism other than marginal clearing prices.</w:t>
      </w:r>
      <w:r>
        <w:rPr>
          <w:rStyle w:val="FootnoteCharacters"/>
          <w:rStyle w:val="FootnoteReference"/>
        </w:rPr>
        <w:footnoteReference w:id="14"/>
      </w:r>
    </w:p>
    <w:p>
      <w:pPr>
        <w:pStyle w:val="Heading1"/>
        <w:ind w:hanging="0" w:start="0"/>
        <w:rPr/>
      </w:pPr>
      <w:bookmarkStart w:id="15" w:name="__RefHeading___Toc512698178"/>
      <w:bookmarkStart w:id="16" w:name="_Ref511626487"/>
      <w:bookmarkEnd w:id="15"/>
      <w:r>
        <w:rPr/>
        <w:t>An interim RTO model</w:t>
      </w:r>
      <w:bookmarkEnd w:id="16"/>
    </w:p>
    <w:p>
      <w:pPr>
        <w:pStyle w:val="Normal"/>
        <w:rPr/>
      </w:pPr>
      <w:r>
        <w:rPr/>
        <w:t xml:space="preserve">The process of “design by committee” has slowed the RTO development process to a crawl. The result is likely to be a range of market designs that contain just enough differences from one another to raise RTO and participants’ implementation costs for systems, software and training. The Commission can provide a powerful impetus for competition by directing that – except where specific circumstances warrant it – a simplified interim RTO design should be implemented across all regions that do not currently have a functioning wholesale market. The savings in time and costs of a more standardized approach could potentially far outweigh the benefits of a high level of customization. </w:t>
      </w:r>
    </w:p>
    <w:p>
      <w:pPr>
        <w:pStyle w:val="Normal"/>
        <w:rPr/>
      </w:pPr>
      <w:r>
        <w:rPr/>
        <w:t>This section describes a practical interim RTO structure that is likely to prove efficient, relatively easy to implement, and that meets the requirements for RTOs imposed by Order 2000. It is not “the answer” to power market design – we doubt such a thing exists. However, it reflects the economic and technical realities necessary for a workable design, and is closely related to market structures that have worked in the United States and elsewhere. In terms of simplicity, ease of implementation and practicality it appears superior to many of the current RTO proposals.</w:t>
      </w:r>
    </w:p>
    <w:p>
      <w:pPr>
        <w:pStyle w:val="Heading2"/>
        <w:ind w:hanging="0" w:start="0"/>
        <w:rPr/>
      </w:pPr>
      <w:r>
        <w:rPr/>
        <w:t>Overview of the interim RTO model</w:t>
      </w:r>
    </w:p>
    <w:p>
      <w:pPr>
        <w:pStyle w:val="Normal"/>
        <w:rPr/>
      </w:pPr>
      <w:r>
        <w:rPr/>
        <w:t xml:space="preserve">The vision of fully decentralized markets – incorporating purely market-based commitment – is attractive for the longer term. In the mean time it is likely to be preferable to fall back on a more centralized model – at least during the day-ahead commitment process and real-time dispatch – with a proven track record. The interim RTO model we propose is based on a simplified LMP-based commitment and dispatch system. It would contain the following elements: </w:t>
      </w:r>
    </w:p>
    <w:p>
      <w:pPr>
        <w:pStyle w:val="Normal"/>
        <w:numPr>
          <w:ilvl w:val="0"/>
          <w:numId w:val="18"/>
        </w:numPr>
        <w:rPr/>
      </w:pPr>
      <w:r>
        <w:rPr>
          <w:b/>
          <w:bCs/>
          <w:i/>
          <w:iCs/>
        </w:rPr>
        <w:t xml:space="preserve">Real-time: </w:t>
      </w:r>
      <w:r>
        <w:rPr/>
        <w:t xml:space="preserve">During real-time, energy imbalances should be cleared in a balancing market, on the basis of marginal cost bids and at a transparent MCP. </w:t>
      </w:r>
    </w:p>
    <w:p>
      <w:pPr>
        <w:pStyle w:val="ListBullet1"/>
        <w:numPr>
          <w:ilvl w:val="1"/>
          <w:numId w:val="22"/>
        </w:numPr>
        <w:rPr/>
      </w:pPr>
      <w:r>
        <w:rPr>
          <w:b/>
          <w:bCs/>
          <w:i/>
          <w:iCs/>
        </w:rPr>
        <w:t xml:space="preserve">Forward trading: </w:t>
      </w:r>
      <w:r>
        <w:rPr/>
        <w:t>Forward trading (for energy and transmission) should be financial (e.g. in the form of hedging contracts against spot prices), and take place with minimal ISO involvement.</w:t>
      </w:r>
    </w:p>
    <w:p>
      <w:pPr>
        <w:pStyle w:val="ListBullet1"/>
        <w:numPr>
          <w:ilvl w:val="1"/>
          <w:numId w:val="22"/>
        </w:numPr>
        <w:rPr/>
      </w:pPr>
      <w:r>
        <w:rPr>
          <w:b/>
          <w:bCs/>
          <w:i/>
          <w:iCs/>
        </w:rPr>
        <w:t xml:space="preserve">Commitment/dispatch: </w:t>
      </w:r>
      <w:r>
        <w:rPr/>
        <w:t>Unit commitment and dispatch would be bid-based, and rely on a simplified algorithm that would be available to market participants. The interim model would use energy-only bids and eliminate associated uplift payments.</w:t>
      </w:r>
    </w:p>
    <w:p>
      <w:pPr>
        <w:pStyle w:val="ListBullet1"/>
        <w:numPr>
          <w:ilvl w:val="1"/>
          <w:numId w:val="22"/>
        </w:numPr>
        <w:rPr/>
      </w:pPr>
      <w:r>
        <w:rPr>
          <w:b/>
          <w:bCs/>
          <w:i/>
          <w:iCs/>
        </w:rPr>
        <w:t xml:space="preserve">Day-ahead: </w:t>
      </w:r>
      <w:r>
        <w:rPr/>
        <w:t>Suppliers and loads would submit bids day-ahead. The unit commitment software would (using available data on transmission constraints) produce day-ahead LMPs. All day-ahead transactions would be cleared at these prices.</w:t>
      </w:r>
      <w:r>
        <w:rPr>
          <w:rStyle w:val="FootnoteCharacters"/>
          <w:rStyle w:val="FootnoteReference"/>
        </w:rPr>
        <w:footnoteReference w:id="15"/>
      </w:r>
    </w:p>
    <w:p>
      <w:pPr>
        <w:pStyle w:val="ListBullet1"/>
        <w:numPr>
          <w:ilvl w:val="1"/>
          <w:numId w:val="22"/>
        </w:numPr>
        <w:rPr/>
      </w:pPr>
      <w:r>
        <w:rPr>
          <w:b/>
          <w:bCs/>
          <w:i/>
          <w:iCs/>
        </w:rPr>
        <w:t xml:space="preserve">Balancing market: </w:t>
      </w:r>
      <w:r>
        <w:rPr/>
        <w:t>Suppliers and loads would submit additional bids (inc/dec bids) that would be used in dispatch, and would produce real-time LMPs. All deviations from day-ahead schedules would be cleared at these real-time LMPs.</w:t>
      </w:r>
    </w:p>
    <w:p>
      <w:pPr>
        <w:pStyle w:val="ListBullet1"/>
        <w:numPr>
          <w:ilvl w:val="1"/>
          <w:numId w:val="22"/>
        </w:numPr>
        <w:rPr/>
      </w:pPr>
      <w:r>
        <w:rPr>
          <w:b/>
          <w:bCs/>
          <w:i/>
          <w:iCs/>
        </w:rPr>
        <w:t xml:space="preserve">Information: </w:t>
      </w:r>
      <w:r>
        <w:rPr/>
        <w:t xml:space="preserve">The ISO should publish and update network data on a continuous basis. </w:t>
      </w:r>
    </w:p>
    <w:p>
      <w:pPr>
        <w:pStyle w:val="Normal"/>
        <w:rPr/>
      </w:pPr>
      <w:r>
        <w:rPr/>
        <w:t xml:space="preserve">This model is illustrated in </w:t>
      </w:r>
      <w:r>
        <w:rPr/>
        <w:fldChar w:fldCharType="begin"/>
      </w:r>
      <w:r>
        <w:rPr/>
        <w:instrText xml:space="preserve"> REF _Ref512449901 \h </w:instrText>
      </w:r>
      <w:r>
        <w:rPr/>
        <w:fldChar w:fldCharType="separate"/>
      </w:r>
      <w:r>
        <w:rPr/>
        <w:t>Figure 2</w:t>
      </w:r>
      <w:r>
        <w:rPr/>
        <w:fldChar w:fldCharType="end"/>
      </w:r>
      <w:r>
        <w:rPr/>
        <w:t>. The interim market proposal presented contains some, but not all, of the elements of North-eastern ISOs such as PJM and New York.</w:t>
      </w:r>
    </w:p>
    <w:p>
      <w:pPr>
        <w:pStyle w:val="Caption"/>
        <w:keepNext w:val="true"/>
        <w:pBdr>
          <w:top w:val="single" w:sz="4" w:space="1" w:color="000000"/>
          <w:left w:val="single" w:sz="4" w:space="4" w:color="000000"/>
          <w:bottom w:val="single" w:sz="4" w:space="1" w:color="000000"/>
          <w:right w:val="single" w:sz="4" w:space="4" w:color="000000"/>
        </w:pBdr>
        <w:rPr/>
      </w:pPr>
      <w:bookmarkStart w:id="17" w:name="_Ref512449901"/>
      <w:r>
        <w:rPr/>
        <w:t xml:space="preserve">Figure </w:t>
      </w:r>
      <w:r>
        <w:rPr/>
        <w:fldChar w:fldCharType="begin"/>
      </w:r>
      <w:r>
        <w:rPr/>
        <w:instrText xml:space="preserve"> SEQ Figure \* ARABIC </w:instrText>
      </w:r>
      <w:r>
        <w:rPr/>
        <w:fldChar w:fldCharType="separate"/>
      </w:r>
      <w:r>
        <w:rPr/>
        <w:t>2</w:t>
      </w:r>
      <w:r>
        <w:rPr/>
        <w:fldChar w:fldCharType="end"/>
      </w:r>
      <w:bookmarkEnd w:id="17"/>
      <w:r>
        <w:rPr/>
        <w:t xml:space="preserve">: Interim RTO model </w:t>
      </w:r>
    </w:p>
    <w:p>
      <w:pPr>
        <w:pStyle w:val="Normal"/>
        <w:pBdr>
          <w:top w:val="single" w:sz="4" w:space="1" w:color="000000"/>
          <w:left w:val="single" w:sz="4" w:space="4" w:color="000000"/>
          <w:bottom w:val="single" w:sz="4" w:space="1" w:color="000000"/>
          <w:right w:val="single" w:sz="4" w:space="4" w:color="000000"/>
        </w:pBdr>
        <w:jc w:val="center"/>
        <w:rPr/>
      </w:pPr>
      <w:r>
        <w:rPr/>
        <w:drawing>
          <wp:inline distT="0" distB="0" distL="0" distR="0">
            <wp:extent cx="5266690" cy="3289935"/>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24"/>
                    <a:srcRect l="-5" t="-7" r="-5" b="-7"/>
                    <a:stretch>
                      <a:fillRect/>
                    </a:stretch>
                  </pic:blipFill>
                  <pic:spPr bwMode="auto">
                    <a:xfrm>
                      <a:off x="0" y="0"/>
                      <a:ext cx="5266690" cy="3289935"/>
                    </a:xfrm>
                    <a:prstGeom prst="rect">
                      <a:avLst/>
                    </a:prstGeom>
                    <a:noFill/>
                  </pic:spPr>
                </pic:pic>
              </a:graphicData>
            </a:graphic>
          </wp:inline>
        </w:drawing>
      </w:r>
    </w:p>
    <w:p>
      <w:pPr>
        <w:pStyle w:val="Heading2"/>
        <w:ind w:hanging="0" w:start="0"/>
        <w:rPr/>
      </w:pPr>
      <w:r>
        <w:rPr/>
        <w:t>Advantages and trade-offs</w:t>
      </w:r>
    </w:p>
    <w:p>
      <w:pPr>
        <w:pStyle w:val="Normal"/>
        <w:rPr/>
      </w:pPr>
      <w:r>
        <w:rPr/>
        <w:t>The proposed RTO interim model differs in a few critical ways from the more complex PJM and New York designs:</w:t>
      </w:r>
    </w:p>
    <w:p>
      <w:pPr>
        <w:pStyle w:val="ListBullet1"/>
        <w:numPr>
          <w:ilvl w:val="1"/>
          <w:numId w:val="16"/>
        </w:numPr>
        <w:rPr/>
      </w:pPr>
      <w:r>
        <w:rPr>
          <w:b/>
          <w:bCs/>
          <w:i/>
          <w:iCs/>
        </w:rPr>
        <w:t xml:space="preserve">Simple bid auction: </w:t>
      </w:r>
      <w:r>
        <w:rPr/>
        <w:t xml:space="preserve">The commitment and dispatch algorithm is simplified, and uses energy-only bids. This ensures greater transparency in pricing and liquidity in the forward markets. It will also eliminate the need for bid production cost guarantee payments, and will allow the optimization software to be much simpler. A simplified commitment model in particular is likely to be more robust against attempts on the part of market participants to manipulate dispatch and market outcomes. </w:t>
      </w:r>
    </w:p>
    <w:p>
      <w:pPr>
        <w:pStyle w:val="ListBullet1"/>
        <w:numPr>
          <w:ilvl w:val="1"/>
          <w:numId w:val="16"/>
        </w:numPr>
        <w:rPr/>
      </w:pPr>
      <w:r>
        <w:rPr>
          <w:b/>
          <w:bCs/>
          <w:i/>
          <w:iCs/>
        </w:rPr>
        <w:t xml:space="preserve">Operator intervention: </w:t>
      </w:r>
      <w:r>
        <w:rPr/>
        <w:t xml:space="preserve">The single-part bid mechanism will reduce the need for the New York and PJM-style multi-pass optimization routines, with the associated need for “heuristics” – operator intervention – in order to achieve convergence. A single optimal power flow model operating with monotonic bids and simple dynamic constraints may result in a simpler outcome. </w:t>
      </w:r>
    </w:p>
    <w:p>
      <w:pPr>
        <w:pStyle w:val="ListBullet1"/>
        <w:numPr>
          <w:ilvl w:val="1"/>
          <w:numId w:val="16"/>
        </w:numPr>
        <w:rPr/>
      </w:pPr>
      <w:r>
        <w:rPr>
          <w:b/>
          <w:bCs/>
          <w:i/>
          <w:iCs/>
        </w:rPr>
        <w:t xml:space="preserve">Market evolution. </w:t>
      </w:r>
      <w:r>
        <w:rPr/>
        <w:t xml:space="preserve">A simplified interim model provides greater scope for the introduction of a more market-based congestion management and commitment algorithm in the future. </w:t>
      </w:r>
    </w:p>
    <w:p>
      <w:pPr>
        <w:pStyle w:val="Normal"/>
        <w:rPr/>
      </w:pPr>
      <w:r>
        <w:rPr/>
        <w:t xml:space="preserve">It is not claimed that the interim model proposed in this paper is perfect or even that it is the best </w:t>
      </w:r>
      <w:r>
        <w:rPr>
          <w:i/>
          <w:iCs/>
        </w:rPr>
        <w:t>long-term</w:t>
      </w:r>
      <w:r>
        <w:rPr/>
        <w:t xml:space="preserve"> market design – it is not. What is claimed is that this represents a reasonable compromise that reflects the inherent tradeoffs between getting something done now that is workable or later that may be slightly preferable. These include the tradeoffs between:</w:t>
      </w:r>
    </w:p>
    <w:p>
      <w:pPr>
        <w:pStyle w:val="ListBullet1"/>
        <w:numPr>
          <w:ilvl w:val="1"/>
          <w:numId w:val="17"/>
        </w:numPr>
        <w:rPr>
          <w:lang w:val="en-US"/>
        </w:rPr>
      </w:pPr>
      <w:r>
        <w:rPr>
          <w:b/>
          <w:bCs/>
          <w:i/>
          <w:iCs/>
          <w:lang w:val="en-US"/>
        </w:rPr>
        <w:t xml:space="preserve">Simplicity and accuracy of price signals: </w:t>
      </w:r>
      <w:r>
        <w:rPr>
          <w:lang w:val="en-US"/>
        </w:rPr>
        <w:t xml:space="preserve">It may be argued that the interim market model proposed – which does not for example allow generators to express their fixed costs of starting in bids – does not allow the precise costs of operations to be reflected in market prices. This is not a convincing argument. The tariffs charged to customers today are highly distorted by years of utility ratemaking, and are far removed from short-run marginal costs. Adding substantial market complexity to address the relatively small cost differences of start costs and no load costs is far more likely to increase the scope for generator gaming. </w:t>
      </w:r>
    </w:p>
    <w:p>
      <w:pPr>
        <w:pStyle w:val="ListBullet1"/>
        <w:numPr>
          <w:ilvl w:val="1"/>
          <w:numId w:val="17"/>
        </w:numPr>
        <w:rPr>
          <w:lang w:val="en-US"/>
        </w:rPr>
      </w:pPr>
      <w:r>
        <w:rPr>
          <w:b/>
          <w:bCs/>
          <w:i/>
          <w:iCs/>
          <w:lang w:val="en-US"/>
        </w:rPr>
        <w:t>Centralization versus decentralization:</w:t>
      </w:r>
      <w:r>
        <w:rPr>
          <w:lang w:val="en-US"/>
        </w:rPr>
        <w:t xml:space="preserve"> It may be possible to have workable transmission flow rights markets that are capable of operating without the centralized optimization inherent in LMP. The ideas themselves have not yet been fully tested. However, an acceptable level of centralization can be obtained by limiting the ISO’s functions to day-ahead commitment and real-time operations and pricing. Further experiments in decentralized market structures will require further economic development and testing. Now is not the time to engage in these activities.</w:t>
      </w:r>
    </w:p>
    <w:p>
      <w:pPr>
        <w:pStyle w:val="ListBullet1"/>
        <w:numPr>
          <w:ilvl w:val="1"/>
          <w:numId w:val="17"/>
        </w:numPr>
        <w:rPr>
          <w:lang w:val="en-US"/>
        </w:rPr>
      </w:pPr>
      <w:r>
        <w:rPr>
          <w:b/>
          <w:bCs/>
          <w:i/>
          <w:iCs/>
          <w:lang w:val="en-US"/>
        </w:rPr>
        <w:t xml:space="preserve">Standardization versus customization: </w:t>
      </w:r>
      <w:r>
        <w:rPr>
          <w:lang w:val="en-US"/>
        </w:rPr>
        <w:t>The process of RTO development has to date been driven by stakeholder processes. This takes time and money. While it may be true that the circumstances of individual regions will be ideally served by highly individualized market designs, the process of developing, approving and implementing such structures looks unattractively long. The FERC could serve the greater good of customers by pushing RTOs towards a single simplified design. This can evolve if necessary after a period of evaluation and re-design has been carried out.</w:t>
      </w:r>
    </w:p>
    <w:p>
      <w:pPr>
        <w:pStyle w:val="Heading2"/>
        <w:ind w:hanging="0" w:start="0"/>
        <w:rPr/>
      </w:pPr>
      <w:r>
        <w:rPr/>
        <w:t>Sunset provisions for evaluation and re-design</w:t>
      </w:r>
    </w:p>
    <w:p>
      <w:pPr>
        <w:pStyle w:val="Normal"/>
        <w:rPr/>
      </w:pPr>
      <w:r>
        <w:rPr/>
        <w:t xml:space="preserve">No market design – even the simplified interim design presented here – will be completely satisfactory for the long-term. However, the best can be the enemy of the good, and a workable RTO in every region of the country is a worthwhile immediate objective. Small-scale changes can follow. </w:t>
      </w:r>
    </w:p>
    <w:p>
      <w:pPr>
        <w:pStyle w:val="Normal"/>
        <w:rPr/>
      </w:pPr>
      <w:r>
        <w:rPr/>
        <w:t>The Commission can ensure that the competitiveness and efficiency of wholesale power markets continues to improve, primarily by not locking in the status quo. Specifying “sunset dates” for market designs can best achieve this goal. For example, the Commission could approve a new RTO for only 36 months, at which time a new filing would need to be made to address any shortcomings identified by the Commission or market participants. This procedural mechanism would prevent one of the possible pitfalls of RTO governance – how to ensure that market failures that favor one set of participants are not preserved in the process of political horse-trading that occurs in every market institution. Such a strategy would also lay the framework for the continuing evolution of the interim market design. This is the subject of the next section.</w:t>
      </w:r>
    </w:p>
    <w:p>
      <w:pPr>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rFonts w:eastAsia="Book Antiqua"/>
          <w:lang w:val="en-US"/>
        </w:rPr>
      </w:pPr>
      <w:r>
        <w:rPr>
          <w:rFonts w:eastAsia="Book Antiqua"/>
          <w:lang w:val="en-US"/>
        </w:rPr>
        <w:t xml:space="preserve"> </w:t>
      </w:r>
    </w:p>
    <w:p>
      <w:pPr>
        <w:pStyle w:val="Heading1"/>
        <w:ind w:hanging="0" w:start="0"/>
        <w:rPr/>
      </w:pPr>
      <w:bookmarkStart w:id="18" w:name="__RefHeading___Toc512698179"/>
      <w:bookmarkStart w:id="19" w:name="_Ref512668841"/>
      <w:bookmarkStart w:id="20" w:name="_Ref512668767"/>
      <w:bookmarkEnd w:id="18"/>
      <w:r>
        <w:rPr/>
        <w:t>The competitive framework</w:t>
      </w:r>
      <w:bookmarkEnd w:id="19"/>
      <w:bookmarkEnd w:id="20"/>
    </w:p>
    <w:p>
      <w:pPr>
        <w:pStyle w:val="Normal"/>
        <w:rPr/>
      </w:pPr>
      <w:r>
        <w:rPr>
          <w:lang w:val="en-US"/>
        </w:rPr>
        <w:t xml:space="preserve">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outlined key market components for an RTO. This section focuses on the competitive framework that must be put in place to ensure that spot and forward market outcomes reliably reflect underlying demand and supply conditions and that customers receive appropriate price signals. </w:t>
      </w:r>
    </w:p>
    <w:p>
      <w:pPr>
        <w:pStyle w:val="Heading2"/>
        <w:ind w:hanging="0" w:start="0"/>
        <w:rPr/>
      </w:pPr>
      <w:bookmarkStart w:id="21" w:name="_Ref512089114"/>
      <w:r>
        <w:rPr/>
        <w:t xml:space="preserve">Market power </w:t>
      </w:r>
      <w:bookmarkEnd w:id="21"/>
    </w:p>
    <w:p>
      <w:pPr>
        <w:pStyle w:val="Normal"/>
        <w:rPr>
          <w:lang w:val="en-US"/>
        </w:rPr>
      </w:pPr>
      <w:r>
        <w:rPr>
          <w:lang w:val="en-US"/>
        </w:rPr>
        <w:t>From California to New York, accusations of market power have plagued the evolving electricity markets of the U.S. This is not accidental. Rather, it is a product of the economics of power markets, the supply and demand situation that exists in many regions, and the incomplete regulatory and legal policies that have been applied. All of these factors have acted together to create a public policy crisis, and in some areas a financial crisis as well.</w:t>
      </w:r>
    </w:p>
    <w:p>
      <w:pPr>
        <w:pStyle w:val="Heading3"/>
        <w:ind w:hanging="0" w:start="0"/>
        <w:rPr/>
      </w:pPr>
      <w:r>
        <w:rPr/>
        <w:t>Conventional measures of market power</w:t>
      </w:r>
    </w:p>
    <w:p>
      <w:pPr>
        <w:pStyle w:val="Normal"/>
        <w:rPr/>
      </w:pPr>
      <w:r>
        <w:rPr>
          <w:lang w:val="en-US"/>
        </w:rPr>
        <w:t xml:space="preserve">The Commission has traditionally relied on </w:t>
      </w:r>
      <w:r>
        <w:rPr>
          <w:i/>
          <w:iCs/>
          <w:lang w:val="en-US"/>
        </w:rPr>
        <w:t>prospective</w:t>
      </w:r>
      <w:r>
        <w:rPr>
          <w:lang w:val="en-US"/>
        </w:rPr>
        <w:t xml:space="preserve"> measures of market power in making approvals for mergers and market-based rates. These prospective measures are generally based on concentration indicators such as the well-known Hirschmann-Herfindahl Index (HHI). The use of the HHI and similar measures is well established in conventional anti-trust analysis. The FERC’s market power analysis process has in fact borrowed heavily from that employed by the Department of Justice and other agencies.</w:t>
      </w:r>
    </w:p>
    <w:p>
      <w:pPr>
        <w:pStyle w:val="Normal"/>
        <w:rPr>
          <w:lang w:val="en-US"/>
        </w:rPr>
      </w:pPr>
      <w:r>
        <w:rPr>
          <w:lang w:val="en-US"/>
        </w:rPr>
        <w:t xml:space="preserve">But concentration measures such as the HHI can give very misleading results when applied to power markets. The reasons are inherent in the economic assumptions which lie behind the HHI, which have been developed as a workable “rule of thumb” that has indeed been useful across a range of industries. However, the fundamental economics of electricity, as described previously, are different – the short-run elasticity of demand with respect to price for electricity is very low and electricity cannot easily be stored. </w:t>
      </w:r>
    </w:p>
    <w:p>
      <w:pPr>
        <w:pStyle w:val="Normal"/>
        <w:rPr/>
      </w:pPr>
      <w:r>
        <w:rPr>
          <w:lang w:val="en-US"/>
        </w:rPr>
        <w:t xml:space="preserve">This is illustrated in </w:t>
      </w:r>
      <w:r>
        <w:rPr>
          <w:lang w:val="en-US"/>
        </w:rPr>
        <w:fldChar w:fldCharType="begin"/>
      </w:r>
      <w:r>
        <w:rPr>
          <w:lang w:val="en-US"/>
        </w:rPr>
        <w:instrText xml:space="preserve"> REF _Ref512145308 \h </w:instrText>
      </w:r>
      <w:r>
        <w:rPr>
          <w:lang w:val="en-US"/>
        </w:rPr>
        <w:fldChar w:fldCharType="separate"/>
      </w:r>
      <w:r>
        <w:rPr>
          <w:lang w:val="en-US"/>
        </w:rPr>
        <w:t>Figure 3</w:t>
      </w:r>
      <w:r>
        <w:rPr>
          <w:lang w:val="en-US"/>
        </w:rPr>
        <w:fldChar w:fldCharType="end"/>
      </w:r>
      <w:r>
        <w:rPr>
          <w:lang w:val="en-US"/>
        </w:rPr>
        <w:t xml:space="preserve">: </w:t>
      </w:r>
    </w:p>
    <w:p>
      <w:pPr>
        <w:pStyle w:val="Normal"/>
        <w:numPr>
          <w:ilvl w:val="0"/>
          <w:numId w:val="24"/>
        </w:numPr>
        <w:rPr>
          <w:lang w:val="en-US"/>
        </w:rPr>
      </w:pPr>
      <w:r>
        <w:rPr>
          <w:lang w:val="en-US"/>
        </w:rPr>
        <w:t xml:space="preserve">The left hand side of the figure shows a weakly concentrated market. Using the HHI methodology, a competitiveness analysis would show that this market should be expected to produce highly competitive outcomes. But if demand is high, as is shown in the figure, this will not be so. If generators know that demand will be high in the hour, they can bid whatever they want and still be selected, with no output risk at all. In a capacity-constrained market, any supplier can have monopoly power, now matter how weakly concentrated the market may be. </w:t>
      </w:r>
    </w:p>
    <w:p>
      <w:pPr>
        <w:pStyle w:val="Normal"/>
        <w:numPr>
          <w:ilvl w:val="0"/>
          <w:numId w:val="24"/>
        </w:numPr>
        <w:rPr>
          <w:lang w:val="en-US"/>
        </w:rPr>
      </w:pPr>
      <w:r>
        <w:rPr>
          <w:lang w:val="en-US"/>
        </w:rPr>
        <w:t xml:space="preserve">The right hand side of </w:t>
      </w:r>
      <w:r>
        <w:rPr>
          <w:lang w:val="en-US"/>
        </w:rPr>
        <w:fldChar w:fldCharType="begin"/>
      </w:r>
      <w:r>
        <w:rPr>
          <w:lang w:val="en-US"/>
        </w:rPr>
        <w:instrText xml:space="preserve"> REF _Ref512145308 \h </w:instrText>
      </w:r>
      <w:r>
        <w:rPr>
          <w:lang w:val="en-US"/>
        </w:rPr>
        <w:fldChar w:fldCharType="separate"/>
      </w:r>
      <w:r>
        <w:rPr>
          <w:lang w:val="en-US"/>
        </w:rPr>
        <w:t>Figure 3</w:t>
      </w:r>
      <w:r>
        <w:rPr>
          <w:lang w:val="en-US"/>
        </w:rPr>
        <w:fldChar w:fldCharType="end"/>
      </w:r>
      <w:r>
        <w:rPr>
          <w:lang w:val="en-US"/>
        </w:rPr>
        <w:t xml:space="preserve"> provides a converse example. The market is highly concentrated, with only four generators. But when demand is low, a “residual demand” analysis would show that supply could be easily met with only two of the four generation portfolios. Thus the outcome might be expected to be highly competitive, even though an HHI analysis would suggest otherwise.</w:t>
      </w:r>
    </w:p>
    <w:p>
      <w:pPr>
        <w:pStyle w:val="Normal"/>
        <w:jc w:val="center"/>
        <w:rPr>
          <w:lang w:val="en-US"/>
        </w:rPr>
      </w:pPr>
      <w:r>
        <w:rPr>
          <w:lang w:val="en-US"/>
        </w:rPr>
      </w:r>
      <w:r>
        <mc:AlternateContent>
          <mc:Choice Requires="wps">
            <w:drawing>
              <wp:anchor behindDoc="0" distT="0" distB="0" distL="0" distR="114300" simplePos="0" locked="0" layoutInCell="0" allowOverlap="1" relativeHeight="5">
                <wp:simplePos x="0" y="0"/>
                <wp:positionH relativeFrom="column">
                  <wp:posOffset>-22225</wp:posOffset>
                </wp:positionH>
                <wp:positionV relativeFrom="paragraph">
                  <wp:posOffset>635</wp:posOffset>
                </wp:positionV>
                <wp:extent cx="5988050" cy="3637915"/>
                <wp:effectExtent l="0" t="0" r="0" b="0"/>
                <wp:wrapSquare wrapText="bothSides"/>
                <wp:docPr id="11" name="Frame3"/>
                <a:graphic xmlns:a="http://schemas.openxmlformats.org/drawingml/2006/main">
                  <a:graphicData uri="http://schemas.microsoft.com/office/word/2010/wordprocessingShape">
                    <wps:wsp>
                      <wps:cNvSpPr txBox="1"/>
                      <wps:spPr>
                        <a:xfrm>
                          <a:off x="0" y="0"/>
                          <a:ext cx="5988050" cy="3637915"/>
                        </a:xfrm>
                        <a:prstGeom prst="rect"/>
                        <a:solidFill>
                          <a:srgbClr val="FFFFFF">
                            <a:alpha val="0"/>
                          </a:srgbClr>
                        </a:solidFill>
                        <a:ln w="9525">
                          <a:solidFill>
                            <a:srgbClr val="000000"/>
                          </a:solidFill>
                        </a:ln>
                      </wps:spPr>
                      <wps:txbx>
                        <w:txbxContent>
                          <w:p>
                            <w:pPr>
                              <w:pStyle w:val="Caption"/>
                              <w:suppressAutoHyphens w:val="true"/>
                              <w:spacing w:before="120" w:after="240"/>
                              <w:rPr>
                                <w:b w:val="false"/>
                              </w:rPr>
                            </w:pPr>
                            <w:bookmarkStart w:id="22" w:name="_Ref512145308"/>
                            <w:r>
                              <w:rPr/>
                              <w:t xml:space="preserve">Figure </w:t>
                            </w:r>
                            <w:r>
                              <w:rPr/>
                              <w:fldChar w:fldCharType="begin"/>
                            </w:r>
                            <w:r>
                              <w:rPr/>
                              <w:instrText xml:space="preserve"> SEQ Figure \* ARABIC </w:instrText>
                            </w:r>
                            <w:r>
                              <w:rPr/>
                              <w:fldChar w:fldCharType="separate"/>
                            </w:r>
                            <w:r>
                              <w:rPr/>
                              <w:t>3</w:t>
                            </w:r>
                            <w:r>
                              <w:rPr/>
                              <w:fldChar w:fldCharType="end"/>
                            </w:r>
                            <w:bookmarkEnd w:id="22"/>
                            <w:r>
                              <w:rPr/>
                              <w:t>: Concentration measures do not adequately measure market power in electricity</w:t>
                            </w:r>
                          </w:p>
                          <w:p>
                            <w:pPr>
                              <w:pStyle w:val="Normal"/>
                              <w:spacing w:before="0" w:after="240"/>
                              <w:jc w:val="center"/>
                              <w:rPr>
                                <w:lang w:val="en-US"/>
                              </w:rPr>
                            </w:pPr>
                            <w:r>
                              <w:rPr/>
                              <w:drawing>
                                <wp:inline distT="0" distB="0" distL="0" distR="0">
                                  <wp:extent cx="4694555" cy="3204210"/>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29"/>
                                          <a:srcRect l="-4" t="-7" r="-4" b="-7"/>
                                          <a:stretch>
                                            <a:fillRect/>
                                          </a:stretch>
                                        </pic:blipFill>
                                        <pic:spPr bwMode="auto">
                                          <a:xfrm>
                                            <a:off x="0" y="0"/>
                                            <a:ext cx="4694555" cy="320421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86.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b w:val="false"/>
                        </w:rPr>
                      </w:pPr>
                      <w:bookmarkStart w:id="23" w:name="_Ref512145308"/>
                      <w:r>
                        <w:rPr/>
                        <w:t xml:space="preserve">Figure </w:t>
                      </w:r>
                      <w:r>
                        <w:rPr/>
                        <w:fldChar w:fldCharType="begin"/>
                      </w:r>
                      <w:r>
                        <w:rPr/>
                        <w:instrText xml:space="preserve"> SEQ Figure \* ARABIC </w:instrText>
                      </w:r>
                      <w:r>
                        <w:rPr/>
                        <w:fldChar w:fldCharType="separate"/>
                      </w:r>
                      <w:r>
                        <w:rPr/>
                        <w:t>3</w:t>
                      </w:r>
                      <w:r>
                        <w:rPr/>
                        <w:fldChar w:fldCharType="end"/>
                      </w:r>
                      <w:bookmarkEnd w:id="23"/>
                      <w:r>
                        <w:rPr/>
                        <w:t>: Concentration measures do not adequately measure market power in electricity</w:t>
                      </w:r>
                    </w:p>
                    <w:p>
                      <w:pPr>
                        <w:pStyle w:val="Normal"/>
                        <w:spacing w:before="0" w:after="240"/>
                        <w:jc w:val="center"/>
                        <w:rPr>
                          <w:lang w:val="en-US"/>
                        </w:rPr>
                      </w:pPr>
                      <w:r>
                        <w:rPr/>
                        <w:drawing>
                          <wp:inline distT="0" distB="0" distL="0" distR="0">
                            <wp:extent cx="4694555" cy="3204210"/>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30"/>
                                    <a:srcRect l="-4" t="-7" r="-4" b="-7"/>
                                    <a:stretch>
                                      <a:fillRect/>
                                    </a:stretch>
                                  </pic:blipFill>
                                  <pic:spPr bwMode="auto">
                                    <a:xfrm>
                                      <a:off x="0" y="0"/>
                                      <a:ext cx="4694555" cy="3204210"/>
                                    </a:xfrm>
                                    <a:prstGeom prst="rect">
                                      <a:avLst/>
                                    </a:prstGeom>
                                    <a:noFill/>
                                  </pic:spPr>
                                </pic:pic>
                              </a:graphicData>
                            </a:graphic>
                          </wp:inline>
                        </w:drawing>
                      </w:r>
                    </w:p>
                  </w:txbxContent>
                </v:textbox>
                <w10:wrap type="square"/>
              </v:rect>
            </w:pict>
          </mc:Fallback>
        </mc:AlternateContent>
      </w:r>
    </w:p>
    <w:p>
      <w:pPr>
        <w:pStyle w:val="Heading3"/>
        <w:ind w:hanging="0" w:start="0"/>
        <w:rPr/>
      </w:pPr>
      <w:r>
        <w:rPr/>
        <w:t>The regulatory framework for competition</w:t>
      </w:r>
    </w:p>
    <w:p>
      <w:pPr>
        <w:pStyle w:val="Normal"/>
        <w:rPr>
          <w:lang w:val="en-US"/>
        </w:rPr>
      </w:pPr>
      <w:r>
        <w:rPr>
          <w:lang w:val="en-US"/>
        </w:rPr>
        <w:t>What is urgently needed is a new regulatory framework for assessing market power. This needs to occur both before and after RTOs are put in place:</w:t>
      </w:r>
    </w:p>
    <w:p>
      <w:pPr>
        <w:pStyle w:val="Normal"/>
        <w:numPr>
          <w:ilvl w:val="0"/>
          <w:numId w:val="27"/>
        </w:numPr>
        <w:rPr>
          <w:lang w:val="en-US"/>
        </w:rPr>
      </w:pPr>
      <w:r>
        <w:rPr>
          <w:b/>
          <w:bCs/>
          <w:i/>
          <w:iCs/>
          <w:lang w:val="en-US"/>
        </w:rPr>
        <w:t>Before the new RTOs open</w:t>
      </w:r>
      <w:r>
        <w:rPr>
          <w:lang w:val="en-US"/>
        </w:rPr>
        <w:t>, the Commission needs to employ a more substantive market power analysis to be sure that competition will be robust. This will require new techniques to be developed that reflect the realities of power markets. Such “supply function” techniques have been widely discussed in the academic literature, and have been effectively used to assess real market power in other jurisdictions. The allegiance to HHI measures will produce still more market power problems – the tool is just not suited to the task.</w:t>
      </w:r>
    </w:p>
    <w:p>
      <w:pPr>
        <w:pStyle w:val="Normal"/>
        <w:numPr>
          <w:ilvl w:val="0"/>
          <w:numId w:val="27"/>
        </w:numPr>
        <w:rPr>
          <w:lang w:val="en-US"/>
        </w:rPr>
      </w:pPr>
      <w:r>
        <w:rPr>
          <w:b/>
          <w:bCs/>
          <w:i/>
          <w:iCs/>
          <w:lang w:val="en-US"/>
        </w:rPr>
        <w:t>After the new RTOs open</w:t>
      </w:r>
      <w:r>
        <w:rPr>
          <w:lang w:val="en-US"/>
        </w:rPr>
        <w:t xml:space="preserve">, the Commission and market power monitoring units need to be better equipped to understand the details of market rules and behavior, and have the economic resources needed to tease out the details of what is really happening. </w:t>
      </w:r>
    </w:p>
    <w:p>
      <w:pPr>
        <w:pStyle w:val="Normal"/>
        <w:rPr>
          <w:lang w:val="en-US"/>
        </w:rPr>
      </w:pPr>
      <w:r>
        <w:rPr>
          <w:lang w:val="en-US"/>
        </w:rPr>
        <w:t>Finally, FERC must a meaningful interpretation of the term “just and reasonable” as referenced in the Federal Power Act in the context of power market outcomes. Does this term imply full price-taking behavior by every competitor in every peak hour? A significant regulatory failure has occurred in U.S. power markets due to the inability or unwillingness of the Commission to define precisely what it believes is acceptable. A sophisticated theory of jurisprudence is not needed to see that this will – over the long-term – be impossible to sustain.</w:t>
      </w:r>
    </w:p>
    <w:p>
      <w:pPr>
        <w:pStyle w:val="Heading2"/>
        <w:ind w:hanging="0" w:start="0"/>
        <w:rPr/>
      </w:pPr>
      <w:r>
        <w:rPr/>
        <w:t xml:space="preserve">Price responsive loads </w:t>
      </w:r>
    </w:p>
    <w:p>
      <w:pPr>
        <w:pStyle w:val="Normal"/>
        <w:rPr/>
      </w:pPr>
      <w:r>
        <w:rPr>
          <w:lang w:val="en-US"/>
        </w:rPr>
        <w:t xml:space="preserve">Beyond generator market power, tightening reserve capacity margins have also raised serious concerns about the competitiveness and viability of deregulated power markets in the U.S. </w:t>
      </w:r>
      <w:r>
        <w:rPr/>
        <w:t xml:space="preserve">The noisy political debate over levels of wholesale power prices in California and elsewhere has disregarded an important feature of these or any other prices. Market prices are not merely an accounting convention to reveal the profits and losses of utility companies. Market prices signal information about the value of a product, now and in the future. At the heart of most of the California troubles lies the fact that regulators set retail rates for consumers that had nothing to do with prices in the wholesale market. No price signals ever reached consumers when market conditions changed; consumers suffered blackouts, while paying the same (or lower) historical tariffs as in the past. When the link between wholesale and retail markets is cut and the signal is eliminated, things go badly wrong. </w:t>
      </w:r>
    </w:p>
    <w:p>
      <w:pPr>
        <w:pStyle w:val="Normal"/>
        <w:rPr>
          <w:lang w:val="en-US"/>
        </w:rPr>
      </w:pPr>
      <w:r>
        <w:rPr>
          <w:lang w:val="en-US"/>
        </w:rPr>
        <w:t>In this context, greater responsiveness on the part of loads to high prices – in particular for larger customers – has the potential to confer significant benefits on the wider market:</w:t>
      </w:r>
    </w:p>
    <w:p>
      <w:pPr>
        <w:pStyle w:val="Normal"/>
        <w:numPr>
          <w:ilvl w:val="0"/>
          <w:numId w:val="12"/>
        </w:numPr>
        <w:rPr>
          <w:lang w:val="en-US"/>
        </w:rPr>
      </w:pPr>
      <w:r>
        <w:rPr>
          <w:b/>
          <w:bCs/>
          <w:i/>
          <w:iCs/>
          <w:lang w:val="en-US"/>
        </w:rPr>
        <w:t xml:space="preserve">Managing price spikes: </w:t>
      </w:r>
      <w:r>
        <w:rPr>
          <w:lang w:val="en-US"/>
        </w:rPr>
        <w:t xml:space="preserve">Greater demand side responsiveness is a way of managing system peaks and represents an opportunity for retailers to reduce and limit their exposure to high price outcomes. </w:t>
      </w:r>
    </w:p>
    <w:p>
      <w:pPr>
        <w:pStyle w:val="Normal"/>
        <w:numPr>
          <w:ilvl w:val="0"/>
          <w:numId w:val="12"/>
        </w:numPr>
        <w:rPr>
          <w:lang w:val="en-US"/>
        </w:rPr>
      </w:pPr>
      <w:r>
        <w:rPr>
          <w:b/>
          <w:bCs/>
          <w:i/>
          <w:iCs/>
          <w:lang w:val="en-US"/>
        </w:rPr>
        <w:t xml:space="preserve">Countervailing power: </w:t>
      </w:r>
      <w:r>
        <w:rPr>
          <w:lang w:val="en-US"/>
        </w:rPr>
        <w:t xml:space="preserve">Reductions in load in response to high prices are an important source of countervailing power to generator market power. </w:t>
      </w:r>
    </w:p>
    <w:p>
      <w:pPr>
        <w:pStyle w:val="Normal"/>
        <w:rPr>
          <w:lang w:val="en-US"/>
        </w:rPr>
      </w:pPr>
      <w:r>
        <w:rPr>
          <w:lang w:val="en-US"/>
        </w:rPr>
        <w:t xml:space="preserve">Retail competition in the various markets is key to greater competitiveness, and the Commission should support all moves to enhance such this. </w:t>
      </w:r>
    </w:p>
    <w:p>
      <w:pPr>
        <w:pStyle w:val="Heading2"/>
        <w:ind w:hanging="0" w:start="0"/>
        <w:rPr/>
      </w:pPr>
      <w:r>
        <w:rPr/>
        <w:t xml:space="preserve">Forwards contracting for default service customers </w:t>
      </w:r>
    </w:p>
    <w:p>
      <w:pPr>
        <w:pStyle w:val="Normal"/>
        <w:rPr>
          <w:lang w:val="en-US"/>
        </w:rPr>
      </w:pPr>
      <w:r>
        <w:rPr>
          <w:lang w:val="en-US"/>
        </w:rPr>
        <w:t xml:space="preserve">In the absence of meaningful retail prices and retail competition, restructuring is little more than a shell game – shuffling money between various companies, with no more economic benefits than could have been achieved under the old forms of regulation. Yet attempts to link retail prices exclusively to average spot market outcomes are equally misguided. It is instead both prudent and cost-effective for LSEs purchasing power on behalf of consumers to use forward contracts. Nevertheless, even with retail competition and more balanced power purchasing regulations, LSEs may not have an incentive to meet the demand of certain types of customers – those that cannot switch – on cost-effective terms, unless this is reflected in the regulatory framework. </w:t>
      </w:r>
    </w:p>
    <w:p>
      <w:pPr>
        <w:pStyle w:val="Normal"/>
        <w:rPr/>
      </w:pPr>
      <w:r>
        <w:rPr>
          <w:lang w:val="en-US"/>
        </w:rPr>
        <w:t>The ability on behalf of LSEs to contract forward is critical for the development of a competitive wholesale electricity market. However, LSEs must be given regulatory incentives to contract forward. Specifically, regulatory questions arise about the terms on which small residential and commercial customers are supplied – and correspondingly, how retailers are reimbursed – and how regulators can be sure that small customers are supplied effectively. The Commission should act to remove the policy impediments that exist in U.S. markets today, which both prevent LSEs from pursuing effective contract purchasing strategies for their customers and undermine the viability of forward markets.</w:t>
      </w:r>
      <w:r>
        <w:rPr>
          <w:rStyle w:val="FootnoteCharacters"/>
          <w:rStyle w:val="FootnoteReference"/>
          <w:lang w:val="en-US"/>
        </w:rPr>
        <w:footnoteReference w:id="16"/>
      </w:r>
      <w:r>
        <w:rPr>
          <w:lang w:val="en-US"/>
        </w:rPr>
        <w:t xml:space="preserve"> </w:t>
      </w:r>
    </w:p>
    <w:p>
      <w:pPr>
        <w:pStyle w:val="Heading2"/>
        <w:ind w:hanging="0" w:start="0"/>
        <w:rPr/>
      </w:pPr>
      <w:r>
        <w:rPr/>
        <w:t xml:space="preserve">Better information </w:t>
      </w:r>
    </w:p>
    <w:p>
      <w:pPr>
        <w:pStyle w:val="Normal"/>
        <w:rPr>
          <w:lang w:val="en-US"/>
        </w:rPr>
      </w:pPr>
      <w:r>
        <w:rPr>
          <w:lang w:val="en-US"/>
        </w:rPr>
        <w:t xml:space="preserve">Deregulated power wholesale markets are premised on the idea of free trade across inter-temporal and geographic (zonal) markets. In efficient markets, price differences should reflect fundamental economic differences. Otherwise, arbitrage or speculative transactions will occur that will eliminate any (risk-adjusted) price differences not caused by fundamental economic drivers. </w:t>
      </w:r>
    </w:p>
    <w:p>
      <w:pPr>
        <w:pStyle w:val="Normal"/>
        <w:rPr>
          <w:lang w:val="en-US"/>
        </w:rPr>
      </w:pPr>
      <w:r>
        <w:rPr>
          <w:lang w:val="en-US"/>
        </w:rPr>
        <w:t xml:space="preserve">As a general principle, information that affects the allocation of grid resources should be available to market participants to ensure that limited grid resources are efficiently allocated. If such information is not available, markets cannot be expected to clear at efficient prices and market participants are exposed to greater risks. Such key market related information includes information about the market models and the software that relates to generator scheduling and the use of the transmission grid, as well as information related to the determination and allocation of transmission capacity. </w:t>
      </w:r>
    </w:p>
    <w:p>
      <w:pPr>
        <w:pStyle w:val="Normal"/>
        <w:rPr>
          <w:lang w:val="en-US"/>
        </w:rPr>
      </w:pPr>
      <w:r>
        <w:rPr>
          <w:lang w:val="en-US"/>
        </w:rPr>
        <w:t xml:space="preserve">The need for transparent market rules as a prerequisite to broad participation in power markets is important in a wider governance context. As a monopoly service provider, the ISO should be required to make publicly available the detailed rules through which it determines prices for all energy and associated ancillary services. The alternative is that an ISO is able to engage in price manipulation, as occurred in California under the California ISO’s out-of-market (“OOM”) calls. The lack of transparency of important IISO real-time operations rules – in particular, how the Cal IISO derived its balancing energy and ex post pricing stack and how the Cal IISO purchased OOM energy and capacity – represented a serious barrier to the efficient operation of the California energy market. </w:t>
      </w:r>
    </w:p>
    <w:p>
      <w:pPr>
        <w:pStyle w:val="Heading2"/>
        <w:ind w:hanging="0" w:start="0"/>
        <w:rPr/>
      </w:pPr>
      <w:r>
        <w:rPr/>
        <w:t>Good governance and incentive regulation for monopolies</w:t>
      </w:r>
    </w:p>
    <w:p>
      <w:pPr>
        <w:pStyle w:val="Normal"/>
        <w:rPr>
          <w:lang w:val="en-US"/>
        </w:rPr>
      </w:pPr>
      <w:r>
        <w:rPr>
          <w:lang w:val="en-US"/>
        </w:rPr>
        <w:t>Whether markets operate in a centralized or decentralized manner, the ISO plays a key role in terms of the impact on network operations and on prices. At the same time, it is in practice very difficult to monitor these activities. This further emphasizes the need to require these types of entities to make information about the grid publicly available. The experience in other U.S. power markets also highlights:</w:t>
      </w:r>
    </w:p>
    <w:p>
      <w:pPr>
        <w:pStyle w:val="ListBullet1"/>
        <w:numPr>
          <w:ilvl w:val="0"/>
          <w:numId w:val="9"/>
        </w:numPr>
        <w:rPr>
          <w:lang w:val="en-US"/>
        </w:rPr>
      </w:pPr>
      <w:r>
        <w:rPr>
          <w:b/>
          <w:bCs/>
          <w:i/>
          <w:iCs/>
          <w:lang w:val="en-US"/>
        </w:rPr>
        <w:t xml:space="preserve">Political objectives: </w:t>
      </w:r>
      <w:r>
        <w:rPr>
          <w:lang w:val="en-US"/>
        </w:rPr>
        <w:t>Governance of ISOs has often been weak and biased towards creating lower price outcomes, rather than ensuring the efficient functioning of the market. The Commission is right to require that ISO boards be completely independent of market participants. This restriction should also apply to complete independence from state and local government officials.</w:t>
      </w:r>
    </w:p>
    <w:p>
      <w:pPr>
        <w:pStyle w:val="ListBullet1"/>
        <w:numPr>
          <w:ilvl w:val="0"/>
          <w:numId w:val="9"/>
        </w:numPr>
        <w:rPr>
          <w:lang w:val="en-US"/>
        </w:rPr>
      </w:pPr>
      <w:r>
        <w:rPr>
          <w:b/>
          <w:bCs/>
          <w:i/>
          <w:iCs/>
          <w:lang w:val="en-US"/>
        </w:rPr>
        <w:t xml:space="preserve">Incentive regulation: </w:t>
      </w:r>
      <w:r>
        <w:rPr>
          <w:lang w:val="en-US"/>
        </w:rPr>
        <w:t xml:space="preserve">Given the key role they play and significant expenditure they incur, greater steps more emphasis should be placed on incentive regulation for monopoly businesses, such as system operators and network owners. </w:t>
      </w:r>
    </w:p>
    <w:p>
      <w:pPr>
        <w:pStyle w:val="Normal"/>
        <w:rPr>
          <w:lang w:val="en-US"/>
        </w:rPr>
      </w:pPr>
      <w:r>
        <w:rPr>
          <w:lang w:val="en-US"/>
        </w:rPr>
        <w:t xml:space="preserve">The role for the Commission here is to ensure that the impartiality required by Order 2000 is put into practice and that appropriate benchmarking approaches are developed to assess the performance of these entities. </w:t>
      </w:r>
    </w:p>
    <w:p>
      <w:pPr>
        <w:sectPr>
          <w:headerReference w:type="default" r:id="rId31"/>
          <w:headerReference w:type="first" r:id="rId32"/>
          <w:footerReference w:type="default" r:id="rId33"/>
          <w:footerReference w:type="first" r:id="rId34"/>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lang w:val="en-US"/>
        </w:rPr>
      </w:pPr>
      <w:r>
        <w:rPr>
          <w:lang w:val="en-US"/>
        </w:rPr>
        <w:br/>
      </w:r>
    </w:p>
    <w:p>
      <w:pPr>
        <w:pStyle w:val="Heading1"/>
        <w:ind w:hanging="0" w:start="0"/>
        <w:rPr/>
      </w:pPr>
      <w:bookmarkStart w:id="24" w:name="__RefHeading___Toc512698180"/>
      <w:bookmarkStart w:id="25" w:name="_Ref511626490"/>
      <w:bookmarkEnd w:id="24"/>
      <w:r>
        <w:rPr/>
        <w:t>How can the interim RTO model potentially evolve?</w:t>
      </w:r>
      <w:bookmarkEnd w:id="25"/>
    </w:p>
    <w:p>
      <w:pPr>
        <w:pStyle w:val="Normal"/>
        <w:rPr/>
      </w:pPr>
      <w:r>
        <w:rPr>
          <w:lang w:val="en-US"/>
        </w:rPr>
        <w:t xml:space="preserve">The interim RTO model outlined in 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has a number of key advantages. It represents a design that is simple and easy to implement, it supports the development of key associated forward markets, and it is demonstrably workable. Nevertheless, it is also clear that this market model continues to rely on the ISO not only close to or during real-time, but for unit commitment and congestion management. The central role of the ISO is a source of concern. In practice information asymmetries are such that governance and information provision requirements of the ISO are difficult to enforce. </w:t>
      </w:r>
    </w:p>
    <w:p>
      <w:pPr>
        <w:pStyle w:val="Heading2"/>
        <w:ind w:hanging="0" w:start="0"/>
        <w:rPr/>
      </w:pPr>
      <w:r>
        <w:rPr/>
        <w:t xml:space="preserve">Existing decentralized trading proposals </w:t>
      </w:r>
    </w:p>
    <w:p>
      <w:pPr>
        <w:pStyle w:val="Normal"/>
        <w:rPr>
          <w:lang w:val="en-US"/>
        </w:rPr>
      </w:pPr>
      <w:r>
        <w:rPr>
          <w:lang w:val="en-US"/>
        </w:rPr>
        <w:t xml:space="preserve">A flow gate trading approach for resolving network congestion and managing the commitment of generating units has not yet been implemented, and there is no doubt that a large number of practical issues need to be addressed, including the definition and number of network links and corresponding rights, the nature of the market trading or auction mechanism and how market power issues should be addressed. Flow-based pricing schemes can represent the loop flow interactions on power networks, but may not be suitable for some large systems, as the number of tradable flow rights required would be impractically high. </w:t>
      </w:r>
    </w:p>
    <w:p>
      <w:pPr>
        <w:pStyle w:val="Normal"/>
        <w:rPr>
          <w:lang w:val="en-US"/>
        </w:rPr>
      </w:pPr>
      <w:r>
        <w:rPr>
          <w:lang w:val="en-US"/>
        </w:rPr>
        <w:t>A recurrent concern is then the potential complexity of trades that must be undertaken, if traders must purchase many individual link rights to complete a trade. The magnitude of this problem depends on the number of congested lines, and different approaches for dealing with the problem of trading complexity have been proposed:</w:t>
      </w:r>
    </w:p>
    <w:p>
      <w:pPr>
        <w:pStyle w:val="ListBullet1"/>
        <w:numPr>
          <w:ilvl w:val="0"/>
          <w:numId w:val="21"/>
        </w:numPr>
        <w:rPr>
          <w:lang w:val="en-US"/>
        </w:rPr>
      </w:pPr>
      <w:r>
        <w:rPr>
          <w:b/>
          <w:bCs/>
          <w:i/>
          <w:iCs/>
          <w:lang w:val="en-US"/>
        </w:rPr>
        <w:t xml:space="preserve">Non-congested links: </w:t>
      </w:r>
      <w:r>
        <w:rPr>
          <w:lang w:val="en-US"/>
        </w:rPr>
        <w:t xml:space="preserve">One option is to remove links that will most likely remain non-congested from the trading process, although the question of what links are likely to remain “commercially insignificant” is one that is difficult to answer ex ante. </w:t>
      </w:r>
    </w:p>
    <w:p>
      <w:pPr>
        <w:pStyle w:val="ListBullet1"/>
        <w:numPr>
          <w:ilvl w:val="0"/>
          <w:numId w:val="21"/>
        </w:numPr>
        <w:rPr>
          <w:lang w:val="en-US"/>
        </w:rPr>
      </w:pPr>
      <w:r>
        <w:rPr>
          <w:b/>
          <w:bCs/>
          <w:i/>
          <w:iCs/>
          <w:lang w:val="en-US"/>
        </w:rPr>
        <w:t>“</w:t>
      </w:r>
      <w:r>
        <w:rPr>
          <w:b/>
          <w:bCs/>
          <w:i/>
          <w:iCs/>
          <w:lang w:val="en-US"/>
        </w:rPr>
        <w:t xml:space="preserve">Flowgates”: </w:t>
      </w:r>
      <w:r>
        <w:rPr>
          <w:lang w:val="en-US"/>
        </w:rPr>
        <w:t>Alternatively, it is possible to reduce the number of transmission capacity rights by bundling links that connect individual zones to derive a comprehensive product to complete a transaction, but this will deal with inter-, rather than intra-regional flows.</w:t>
      </w:r>
      <w:r>
        <w:rPr>
          <w:rStyle w:val="FootnoteCharacters"/>
          <w:rStyle w:val="FootnoteReference"/>
          <w:lang w:val="en-US"/>
        </w:rPr>
        <w:footnoteReference w:id="17"/>
      </w:r>
      <w:r>
        <w:rPr>
          <w:lang w:val="en-US"/>
        </w:rPr>
        <w:t xml:space="preserve"> </w:t>
      </w:r>
    </w:p>
    <w:p>
      <w:pPr>
        <w:pStyle w:val="Heading2"/>
        <w:ind w:hanging="0" w:start="0"/>
        <w:rPr/>
      </w:pPr>
      <w:r>
        <w:rPr/>
        <w:t>Hub-based energy and transmission rights markets</w:t>
      </w:r>
    </w:p>
    <w:p>
      <w:pPr>
        <w:pStyle w:val="Normal"/>
        <w:rPr/>
      </w:pPr>
      <w:r>
        <w:rPr/>
        <w:t xml:space="preserve">An alternative market design that is consistent with and could evolve from the RTO interim proposal would incorporate two basic elements. These are a market for energy at one or more traded hubs, and one or more markets for physical transmission rights to and from the hub(s): </w:t>
      </w:r>
    </w:p>
    <w:p>
      <w:pPr>
        <w:pStyle w:val="ListBullet1"/>
        <w:numPr>
          <w:ilvl w:val="0"/>
          <w:numId w:val="25"/>
        </w:numPr>
        <w:rPr/>
      </w:pPr>
      <w:r>
        <w:rPr>
          <w:b/>
          <w:bCs/>
          <w:i/>
          <w:iCs/>
        </w:rPr>
        <w:t xml:space="preserve">Bilateral energy trades: </w:t>
      </w:r>
      <w:r>
        <w:rPr/>
        <w:t xml:space="preserve">Trading for blocks of energy would be conducted on a bilateral basis at a specified hub, representing a specific physical location (such as a major load centre or transmission connection) on the network. </w:t>
      </w:r>
    </w:p>
    <w:p>
      <w:pPr>
        <w:pStyle w:val="ListBullet1"/>
        <w:numPr>
          <w:ilvl w:val="0"/>
          <w:numId w:val="25"/>
        </w:numPr>
        <w:rPr/>
      </w:pPr>
      <w:r>
        <w:rPr>
          <w:b/>
          <w:bCs/>
          <w:i/>
          <w:iCs/>
        </w:rPr>
        <w:t xml:space="preserve">Physical transmission rights: </w:t>
      </w:r>
      <w:r>
        <w:rPr/>
        <w:t xml:space="preserve">Generators would be responsible for securing physical transmission rights from their location to the hub. Loads, in turn, would buy energy at the hub and purchase the physical transmission rights necessary for taking power at their specific location. </w:t>
      </w:r>
    </w:p>
    <w:p>
      <w:pPr>
        <w:pStyle w:val="ListBullet1"/>
        <w:numPr>
          <w:ilvl w:val="0"/>
          <w:numId w:val="25"/>
        </w:numPr>
        <w:rPr/>
      </w:pPr>
      <w:r>
        <w:rPr>
          <w:b/>
          <w:bCs/>
          <w:i/>
          <w:iCs/>
        </w:rPr>
        <w:t xml:space="preserve">Continuous trading: </w:t>
      </w:r>
      <w:r>
        <w:rPr/>
        <w:t xml:space="preserve">Trading would take place on a continuous-time basis, via one or more mechanisms. This could include screen-based bid-ask markets, telephone-based trading, private exchanges or whatever other methods were desired. </w:t>
      </w:r>
    </w:p>
    <w:p>
      <w:pPr>
        <w:pStyle w:val="ListBullet1"/>
        <w:numPr>
          <w:ilvl w:val="0"/>
          <w:numId w:val="25"/>
        </w:numPr>
        <w:rPr/>
      </w:pPr>
      <w:r>
        <w:rPr>
          <w:b/>
          <w:bCs/>
          <w:i/>
          <w:iCs/>
        </w:rPr>
        <w:t xml:space="preserve">Role of the ISO: </w:t>
      </w:r>
      <w:r>
        <w:rPr/>
        <w:t>The ISO would be responsible for ensuring that at the close of trading, the energy market cleared for the period and the scheduled energy transactions could be matched with the physical transmission rights held by participants.</w:t>
      </w:r>
    </w:p>
    <w:p>
      <w:pPr>
        <w:pStyle w:val="Normal"/>
        <w:jc w:val="center"/>
        <w:rPr/>
      </w:pPr>
      <w:r>
        <w:rPr/>
      </w:r>
      <w:r>
        <mc:AlternateContent>
          <mc:Choice Requires="wps">
            <w:drawing>
              <wp:anchor behindDoc="0" distT="0" distB="0" distL="0" distR="114300" simplePos="0" locked="0" layoutInCell="0" allowOverlap="1" relativeHeight="7">
                <wp:simplePos x="0" y="0"/>
                <wp:positionH relativeFrom="column">
                  <wp:posOffset>-22225</wp:posOffset>
                </wp:positionH>
                <wp:positionV relativeFrom="paragraph">
                  <wp:posOffset>635</wp:posOffset>
                </wp:positionV>
                <wp:extent cx="5988050" cy="3178175"/>
                <wp:effectExtent l="0" t="0" r="0" b="0"/>
                <wp:wrapSquare wrapText="bothSides"/>
                <wp:docPr id="15" name="Frame4"/>
                <a:graphic xmlns:a="http://schemas.openxmlformats.org/drawingml/2006/main">
                  <a:graphicData uri="http://schemas.microsoft.com/office/word/2010/wordprocessingShape">
                    <wps:wsp>
                      <wps:cNvSpPr txBox="1"/>
                      <wps:spPr>
                        <a:xfrm>
                          <a:off x="0" y="0"/>
                          <a:ext cx="5988050" cy="317817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26" w:name="_Ref512696842"/>
                            <w:r>
                              <w:rPr/>
                              <w:t xml:space="preserve">Figure </w:t>
                            </w:r>
                            <w:r>
                              <w:rPr/>
                              <w:fldChar w:fldCharType="begin"/>
                            </w:r>
                            <w:r>
                              <w:rPr/>
                              <w:instrText xml:space="preserve"> SEQ Figure \* ARABIC </w:instrText>
                            </w:r>
                            <w:r>
                              <w:rPr/>
                              <w:fldChar w:fldCharType="separate"/>
                            </w:r>
                            <w:r>
                              <w:rPr/>
                              <w:t>4</w:t>
                            </w:r>
                            <w:r>
                              <w:rPr/>
                              <w:fldChar w:fldCharType="end"/>
                            </w:r>
                            <w:bookmarkEnd w:id="26"/>
                            <w:r>
                              <w:rPr/>
                              <w:t>: RTO based on traded transmission rights and an energy hub</w:t>
                            </w:r>
                          </w:p>
                          <w:p>
                            <w:pPr>
                              <w:pStyle w:val="Normal"/>
                              <w:spacing w:before="0" w:after="240"/>
                              <w:jc w:val="center"/>
                              <w:rPr/>
                            </w:pPr>
                            <w:r>
                              <w:rPr/>
                              <w:drawing>
                                <wp:inline distT="0" distB="0" distL="0" distR="0">
                                  <wp:extent cx="3197225" cy="2744470"/>
                                  <wp:effectExtent l="0" t="0" r="0" b="0"/>
                                  <wp:docPr id="1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title=""/>
                                          <pic:cNvPicPr>
                                            <a:picLocks noChangeAspect="1" noChangeArrowheads="1"/>
                                          </pic:cNvPicPr>
                                        </pic:nvPicPr>
                                        <pic:blipFill>
                                          <a:blip r:embed="rId35"/>
                                          <a:srcRect l="-5" t="-6" r="-5" b="-6"/>
                                          <a:stretch>
                                            <a:fillRect/>
                                          </a:stretch>
                                        </pic:blipFill>
                                        <pic:spPr bwMode="auto">
                                          <a:xfrm>
                                            <a:off x="0" y="0"/>
                                            <a:ext cx="3197225" cy="274447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50.2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27" w:name="_Ref512696842"/>
                      <w:r>
                        <w:rPr/>
                        <w:t xml:space="preserve">Figure </w:t>
                      </w:r>
                      <w:r>
                        <w:rPr/>
                        <w:fldChar w:fldCharType="begin"/>
                      </w:r>
                      <w:r>
                        <w:rPr/>
                        <w:instrText xml:space="preserve"> SEQ Figure \* ARABIC </w:instrText>
                      </w:r>
                      <w:r>
                        <w:rPr/>
                        <w:fldChar w:fldCharType="separate"/>
                      </w:r>
                      <w:r>
                        <w:rPr/>
                        <w:t>4</w:t>
                      </w:r>
                      <w:r>
                        <w:rPr/>
                        <w:fldChar w:fldCharType="end"/>
                      </w:r>
                      <w:bookmarkEnd w:id="27"/>
                      <w:r>
                        <w:rPr/>
                        <w:t>: RTO based on traded transmission rights and an energy hub</w:t>
                      </w:r>
                    </w:p>
                    <w:p>
                      <w:pPr>
                        <w:pStyle w:val="Normal"/>
                        <w:spacing w:before="0" w:after="240"/>
                        <w:jc w:val="center"/>
                        <w:rPr/>
                      </w:pPr>
                      <w:r>
                        <w:rPr/>
                        <w:drawing>
                          <wp:inline distT="0" distB="0" distL="0" distR="0">
                            <wp:extent cx="3197225" cy="2744470"/>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36"/>
                                    <a:srcRect l="-5" t="-6" r="-5" b="-6"/>
                                    <a:stretch>
                                      <a:fillRect/>
                                    </a:stretch>
                                  </pic:blipFill>
                                  <pic:spPr bwMode="auto">
                                    <a:xfrm>
                                      <a:off x="0" y="0"/>
                                      <a:ext cx="3197225" cy="2744470"/>
                                    </a:xfrm>
                                    <a:prstGeom prst="rect">
                                      <a:avLst/>
                                    </a:prstGeom>
                                    <a:noFill/>
                                  </pic:spPr>
                                </pic:pic>
                              </a:graphicData>
                            </a:graphic>
                          </wp:inline>
                        </w:drawing>
                      </w:r>
                    </w:p>
                  </w:txbxContent>
                </v:textbox>
                <w10:wrap type="square"/>
              </v:rect>
            </w:pict>
          </mc:Fallback>
        </mc:AlternateContent>
      </w:r>
    </w:p>
    <w:p>
      <w:pPr>
        <w:pStyle w:val="Normal"/>
        <w:rPr/>
      </w:pPr>
      <w:r>
        <w:rPr/>
        <w:t xml:space="preserve">This market structure is illustrated in </w:t>
      </w:r>
      <w:r>
        <w:rPr/>
        <w:fldChar w:fldCharType="begin"/>
      </w:r>
      <w:r>
        <w:rPr/>
        <w:instrText xml:space="preserve"> REF _Ref512696842 \h </w:instrText>
      </w:r>
      <w:r>
        <w:rPr/>
        <w:fldChar w:fldCharType="separate"/>
      </w:r>
      <w:r>
        <w:rPr/>
        <w:t>Figure 4</w:t>
      </w:r>
      <w:r>
        <w:rPr/>
        <w:fldChar w:fldCharType="end"/>
      </w:r>
      <w:r>
        <w:rPr/>
        <w:t xml:space="preserve">. Such an energy hub, with trading in fixed or index-linked blocks, would be well-suited for the development of forwards markets, swaps markets and other forms of price risk management. </w:t>
      </w:r>
    </w:p>
    <w:p>
      <w:pPr>
        <w:pStyle w:val="Heading2"/>
        <w:ind w:hanging="0" w:start="0"/>
        <w:rPr/>
      </w:pPr>
      <w:r>
        <w:rPr/>
        <w:t xml:space="preserve">Transmission portfolio market </w:t>
      </w:r>
    </w:p>
    <w:p>
      <w:pPr>
        <w:pStyle w:val="Normal"/>
        <w:rPr/>
      </w:pPr>
      <w:r>
        <w:rPr/>
        <w:t>The complexity of trading in physical transmission rights could be addressed via the design of a market for trading in physical transmission rights.</w:t>
      </w:r>
      <w:r>
        <w:rPr>
          <w:rStyle w:val="FootnoteCharacters"/>
          <w:rStyle w:val="FootnoteReference"/>
        </w:rPr>
        <w:footnoteReference w:id="18"/>
      </w:r>
      <w:r>
        <w:rPr/>
        <w:t xml:space="preserve"> In this case, trading would take place to or from a central hub, greatly simplifying the process of accumulating individual rights to complete a point-to-point transaction. Thus the physical transmission rights required to wheel power between two points in a network can be thought of as a portfolio of individual flow rights.</w:t>
      </w:r>
      <w:r>
        <w:rPr>
          <w:rStyle w:val="FootnoteCharacters"/>
          <w:rStyle w:val="FootnoteReference"/>
        </w:rPr>
        <w:footnoteReference w:id="19"/>
      </w:r>
      <w:r>
        <w:rPr/>
        <w:t xml:space="preserve"> Rather than attempting to trade in the many individual components of flow rights required to make up an entire portfolio, market participants would trade portfolios of rights: </w:t>
      </w:r>
    </w:p>
    <w:p>
      <w:pPr>
        <w:pStyle w:val="ListBullet1"/>
        <w:numPr>
          <w:ilvl w:val="0"/>
          <w:numId w:val="10"/>
        </w:numPr>
        <w:rPr/>
      </w:pPr>
      <w:r>
        <w:rPr/>
        <w:t xml:space="preserve">swaps of point-to-point transmission rights would be made on an unequal quantity basis, where a form of “exchange rate” would be set according to the binding constraint as determined by the ratio of the PTDF matrix elements; </w:t>
      </w:r>
    </w:p>
    <w:p>
      <w:pPr>
        <w:pStyle w:val="ListBullet1"/>
        <w:numPr>
          <w:ilvl w:val="0"/>
          <w:numId w:val="10"/>
        </w:numPr>
        <w:rPr/>
      </w:pPr>
      <w:r>
        <w:rPr/>
        <w:t>the ISO would accept as binding transactions that do not breach any network constraint; and</w:t>
      </w:r>
    </w:p>
    <w:p>
      <w:pPr>
        <w:pStyle w:val="ListBullet1"/>
        <w:numPr>
          <w:ilvl w:val="0"/>
          <w:numId w:val="10"/>
        </w:numPr>
        <w:rPr/>
      </w:pPr>
      <w:r>
        <w:rPr/>
        <w:t xml:space="preserve">trading in energy blocks and transmission rights could occur on a continuous time basis. </w:t>
      </w:r>
    </w:p>
    <w:p>
      <w:pPr>
        <w:pStyle w:val="Normal"/>
        <w:rPr/>
      </w:pPr>
      <w:r>
        <w:rPr/>
        <w:t xml:space="preserve">This structure keeps the energy market and transmission markets separate, but allows the prices in both to influence each other on a continuous basis: </w:t>
      </w:r>
    </w:p>
    <w:p>
      <w:pPr>
        <w:pStyle w:val="ListBullet1"/>
        <w:numPr>
          <w:ilvl w:val="0"/>
          <w:numId w:val="10"/>
        </w:numPr>
        <w:rPr/>
      </w:pPr>
      <w:r>
        <w:rPr>
          <w:b/>
          <w:bCs/>
          <w:i/>
          <w:iCs/>
        </w:rPr>
        <w:t xml:space="preserve">Bilateral model: </w:t>
      </w:r>
      <w:r>
        <w:rPr/>
        <w:t xml:space="preserve">This model is consistent with bilateral-based energy markets and forward trading, which have been proposed in many parts of the United States. </w:t>
      </w:r>
    </w:p>
    <w:p>
      <w:pPr>
        <w:pStyle w:val="ListBullet1"/>
        <w:numPr>
          <w:ilvl w:val="0"/>
          <w:numId w:val="10"/>
        </w:numPr>
        <w:rPr/>
      </w:pPr>
      <w:r>
        <w:rPr>
          <w:b/>
          <w:bCs/>
          <w:i/>
          <w:iCs/>
        </w:rPr>
        <w:t xml:space="preserve">Transmission congestion: </w:t>
      </w:r>
      <w:r>
        <w:rPr/>
        <w:t xml:space="preserve">The transmission rights market design allows efficient trading in physical transmission rights, while respecting the loop flow characteristics of power networks. </w:t>
      </w:r>
    </w:p>
    <w:p>
      <w:pPr>
        <w:pStyle w:val="ListBullet1"/>
        <w:numPr>
          <w:ilvl w:val="0"/>
          <w:numId w:val="10"/>
        </w:numPr>
        <w:rPr/>
      </w:pPr>
      <w:r>
        <w:rPr>
          <w:b/>
          <w:bCs/>
          <w:i/>
          <w:iCs/>
        </w:rPr>
        <w:t xml:space="preserve">Simplicity: </w:t>
      </w:r>
      <w:r>
        <w:rPr/>
        <w:t xml:space="preserve">Given practical real-world limitations on information, if the number of flow rights required is high, this approach is likely to be simpler to implement than the pure flow-based pricing approaches. </w:t>
      </w:r>
    </w:p>
    <w:p>
      <w:pPr>
        <w:pStyle w:val="ListBullet1"/>
        <w:numPr>
          <w:ilvl w:val="0"/>
          <w:numId w:val="10"/>
        </w:numPr>
        <w:rPr/>
      </w:pPr>
      <w:r>
        <w:rPr>
          <w:b/>
          <w:bCs/>
          <w:i/>
          <w:iCs/>
        </w:rPr>
        <w:t xml:space="preserve">New constraints: </w:t>
      </w:r>
      <w:r>
        <w:rPr/>
        <w:t xml:space="preserve">Finally, new constraints can be more easily incorporated as network conditions change, especially as real-time approaches. </w:t>
      </w:r>
    </w:p>
    <w:p>
      <w:pPr>
        <w:pStyle w:val="Heading2"/>
        <w:ind w:hanging="0" w:start="0"/>
        <w:rPr/>
      </w:pPr>
      <w:r>
        <w:rPr/>
        <w:t>Continuous information discovery</w:t>
      </w:r>
    </w:p>
    <w:p>
      <w:pPr>
        <w:pStyle w:val="Normal"/>
        <w:rPr>
          <w:lang w:val="en-US"/>
        </w:rPr>
      </w:pPr>
      <w:r>
        <w:rPr>
          <w:lang w:val="en-US"/>
        </w:rPr>
        <w:t xml:space="preserve">The market trading mechanism described by Chao and Peck, and implemented in the transmission exchange is a dynamic one. Transmission rights may be issued and traded long before the operating hour. This is potentially a key advantage over a centralized commitment and dispatch model, since it creates a process of continuous information discovery. Bilateral contracts within a bilateral market can be traded and negotiated at any point in time (years, months and days ahead) until that specific point in time when trades and corresponding physical rights must be registered with the ISO. </w:t>
      </w:r>
    </w:p>
    <w:p>
      <w:pPr>
        <w:pStyle w:val="Normal"/>
        <w:rPr>
          <w:lang w:val="en-US"/>
        </w:rPr>
      </w:pPr>
      <w:r>
        <w:rPr>
          <w:lang w:val="en-US"/>
        </w:rPr>
        <w:t>Market participants must acquire physical transmission rights to complete power trades in these flow rights models, but the focus is on the information and price discovery process to enable efficient prices to emerge. Transmission capacity rights would be defined for a specific interface, a specific direction, time period (e.g. peak or off peak) and season. Bidding for transmission rights would progress over time. As the auction progresses, bidders would ‘see’ evolving prices and the corresponding cost of power transfers. Hence the emphasis is on a dynamic, rather than a “single shot” or a sequential approach. Between primary auctions, transmission rights would be for sale in secondary markets, including bilaterally, and unbundled or in combinations. Any remaining available capacity could be auctioned by the ISO closer to real-time.</w:t>
      </w:r>
    </w:p>
    <w:p>
      <w:pPr>
        <w:sectPr>
          <w:headerReference w:type="default" r:id="rId37"/>
          <w:headerReference w:type="first" r:id="rId38"/>
          <w:footerReference w:type="default" r:id="rId39"/>
          <w:footerReference w:type="first" r:id="rId40"/>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rFonts w:eastAsia="Book Antiqua"/>
          <w:lang w:val="en-US"/>
        </w:rPr>
      </w:pPr>
      <w:r>
        <w:rPr>
          <w:rFonts w:eastAsia="Book Antiqua"/>
          <w:lang w:val="en-US"/>
        </w:rPr>
        <w:t xml:space="preserve"> </w:t>
      </w:r>
    </w:p>
    <w:p>
      <w:pPr>
        <w:pStyle w:val="Heading1"/>
        <w:ind w:hanging="0" w:start="0"/>
        <w:rPr/>
      </w:pPr>
      <w:bookmarkStart w:id="28" w:name="__RefHeading___Toc512698181"/>
      <w:bookmarkStart w:id="29" w:name="_Ref512401220"/>
      <w:bookmarkEnd w:id="28"/>
      <w:r>
        <w:rPr/>
        <w:t>Four steps for making markets work – an agenda for action</w:t>
      </w:r>
      <w:bookmarkEnd w:id="29"/>
    </w:p>
    <w:p>
      <w:pPr>
        <w:pStyle w:val="Normal"/>
        <w:rPr/>
      </w:pPr>
      <w:r>
        <w:rPr/>
        <w:t>The new FERC commissioners have the unprecedented opportunity to make electric restructuring a success across the United States. The lessons of California have provided – if nothing else – a consensus that market design issues cannot be treated in a vacuum, but must instead be integrated with a number of broader policy issues. In approving the new RTOs, the Commission should look beyond the limited standards laid out in Order 2000. While these are necessary, they are not sufficient to set up markets that work. Creating workable competition and stimulating new supply will require a comprehensive review at the factors determining the competitiveness of wholesale power markets. These are discussed in the following sections.</w:t>
      </w:r>
    </w:p>
    <w:p>
      <w:pPr>
        <w:pStyle w:val="Heading2"/>
        <w:ind w:hanging="0" w:start="0"/>
        <w:rPr/>
      </w:pPr>
      <w:r>
        <w:rPr/>
        <w:t>Step 1 - Address market power issues</w:t>
      </w:r>
    </w:p>
    <w:p>
      <w:pPr>
        <w:pStyle w:val="Normal"/>
        <w:rPr/>
      </w:pPr>
      <w:r>
        <w:rPr/>
        <w:t>Market power is a key issue in electricity. The nature of the commodity greatly strengthens the potential for the exercise of market power in electricity markets. And as we have seen in California, the political acceptability of any restructuring plan hinges on addressing market power issues head on.</w:t>
      </w:r>
    </w:p>
    <w:p>
      <w:pPr>
        <w:pStyle w:val="Normal"/>
        <w:rPr/>
      </w:pPr>
      <w:r>
        <w:rPr/>
        <w:t xml:space="preserve">Addressing market power issues successfully requires recognition of the following: </w:t>
      </w:r>
    </w:p>
    <w:p>
      <w:pPr>
        <w:pStyle w:val="ListBullet1"/>
        <w:numPr>
          <w:ilvl w:val="0"/>
          <w:numId w:val="23"/>
        </w:numPr>
        <w:rPr>
          <w:lang w:val="en-US"/>
        </w:rPr>
      </w:pPr>
      <w:r>
        <w:rPr>
          <w:b/>
          <w:bCs/>
          <w:i/>
          <w:iCs/>
          <w:lang w:val="en-US"/>
        </w:rPr>
        <w:t xml:space="preserve">Effective competition requires substantial divestiture of generation: </w:t>
      </w:r>
      <w:r>
        <w:rPr>
          <w:lang w:val="en-US"/>
        </w:rPr>
        <w:t>The concentration of ownership in many regions of the country is simply unsuited to the immediate development of competition. In these cases the prevailing structure of vertical integration is such that there are simply not enough competitors to reach competitive outcomes. This can best be addressed by substantial of generation assets by incumbents, or through “virtual” divestiture of deregulation using contract auctions.</w:t>
      </w:r>
      <w:r>
        <w:rPr>
          <w:rStyle w:val="FootnoteCharacters"/>
          <w:rStyle w:val="FootnoteReference"/>
          <w:lang w:val="en-US"/>
        </w:rPr>
        <w:footnoteReference w:id="20"/>
      </w:r>
    </w:p>
    <w:p>
      <w:pPr>
        <w:pStyle w:val="ListBullet1"/>
        <w:numPr>
          <w:ilvl w:val="0"/>
          <w:numId w:val="23"/>
        </w:numPr>
        <w:rPr>
          <w:lang w:val="en-US"/>
        </w:rPr>
      </w:pPr>
      <w:r>
        <w:rPr>
          <w:b/>
          <w:bCs/>
          <w:i/>
          <w:iCs/>
          <w:lang w:val="en-US"/>
        </w:rPr>
        <w:t xml:space="preserve">Simple concentration measures are unsuited for measuring market power in power markets: </w:t>
      </w:r>
      <w:r>
        <w:rPr>
          <w:lang w:val="en-US"/>
        </w:rPr>
        <w:t>The HHI measures employed by the FERC are</w:t>
      </w:r>
      <w:r>
        <w:rPr>
          <w:b/>
          <w:bCs/>
          <w:i/>
          <w:iCs/>
          <w:lang w:val="en-US"/>
        </w:rPr>
        <w:t xml:space="preserve"> </w:t>
      </w:r>
      <w:r>
        <w:rPr>
          <w:lang w:val="en-US"/>
        </w:rPr>
        <w:t>fundamentally unsuited to the measurement of generation market power. While these and similar tools may serve the purposes of the Department of Justice and Federal Trade Commission, they are inappropriate for the electric power industry where the elasticity of demand is low and power cannot be stored. The Commission needs to develop and apply new techniques for assessing market power that reflect the realities of wholesale power markets.</w:t>
      </w:r>
    </w:p>
    <w:p>
      <w:pPr>
        <w:pStyle w:val="ListBullet1"/>
        <w:numPr>
          <w:ilvl w:val="0"/>
          <w:numId w:val="23"/>
        </w:numPr>
        <w:rPr>
          <w:b/>
          <w:bCs/>
          <w:i/>
          <w:i/>
          <w:iCs/>
        </w:rPr>
      </w:pPr>
      <w:r>
        <w:rPr>
          <w:b/>
          <w:bCs/>
          <w:i/>
          <w:iCs/>
        </w:rPr>
        <w:t xml:space="preserve">Standards should define allowed behaviour: </w:t>
      </w:r>
      <w:r>
        <w:rPr/>
        <w:t>The Commission has not yet been clear about the standards of competitor behaviour that should apply in electricity markets. The antitrust statutes, such as the Sherman Act and the Clayton Act, do not proscribe the exercising of market power. The “just and reasonableness” standard of the Federal Power Act may provide some additional protection, but if so, the Commission needs to clarify the types of activities that it is trying to prohibit. The current lack of legal clarity tends only to undermine the Commission’s efforts to address market power issues in a consistent and acceptable way.</w:t>
      </w:r>
    </w:p>
    <w:p>
      <w:pPr>
        <w:pStyle w:val="Normal"/>
        <w:rPr/>
      </w:pPr>
      <w:r>
        <w:rPr/>
        <w:t>Mistaken economic assumptions have been at the root of the market power debate. The working assumption has been that the traditional FERC competitiveness analysis – based on HHI measures – provides sufficient insight into the competitiveness of power markets. This is demonstrably untrue. The challenge for FERC is to develop and adopt new standards for approval of market-based rates and mergers quickly, before any major mistakes are made.</w:t>
      </w:r>
    </w:p>
    <w:p>
      <w:pPr>
        <w:pStyle w:val="Heading2"/>
        <w:ind w:hanging="0" w:start="0"/>
        <w:rPr/>
      </w:pPr>
      <w:r>
        <w:rPr/>
        <w:t>Step 2 – Develop workable retail and forwards contracting policies</w:t>
      </w:r>
    </w:p>
    <w:p>
      <w:pPr>
        <w:pStyle w:val="Normal"/>
        <w:rPr/>
      </w:pPr>
      <w:r>
        <w:rPr/>
        <w:t>In its November Order the Commission rightly concluded that a complete separation of wholesale and retail market issues was fundamentally unworkable.</w:t>
      </w:r>
      <w:r>
        <w:rPr>
          <w:rStyle w:val="FootnoteCharacters"/>
          <w:rStyle w:val="FootnoteReference"/>
        </w:rPr>
        <w:footnoteReference w:id="21"/>
      </w:r>
      <w:r>
        <w:rPr/>
        <w:t xml:space="preserve"> Without price signals for consumers, responsiveness of demand with respect to wholesale prices will not develop in the wholesale market. When capacity is tight this guarantees price spikes at levels that are politically unsustainable.</w:t>
      </w:r>
    </w:p>
    <w:p>
      <w:pPr>
        <w:pStyle w:val="Normal"/>
        <w:rPr/>
      </w:pPr>
      <w:r>
        <w:rPr/>
        <w:t>The Commission also noted the underlying weakness of the California restructuring legislation, which required that most consumers be served only at spot prices and prevented LSEs from entering into forward contracts. The exclusion of forward contracting also served to expose California consumers to high and volatile prices, and has blunted price signals to consumers. Consumers cannot possibly respond to price signals when their bills reflect a highly averaged version of last month’s prices.</w:t>
      </w:r>
    </w:p>
    <w:p>
      <w:pPr>
        <w:pStyle w:val="Normal"/>
        <w:rPr/>
      </w:pPr>
      <w:r>
        <w:rPr/>
        <w:t>These mistakes cannot be repeated. The new FERC restructuring agenda should ensure that the following policies are implemented:</w:t>
      </w:r>
    </w:p>
    <w:p>
      <w:pPr>
        <w:pStyle w:val="ListBullet1"/>
        <w:numPr>
          <w:ilvl w:val="0"/>
          <w:numId w:val="5"/>
        </w:numPr>
        <w:rPr/>
      </w:pPr>
      <w:r>
        <w:rPr>
          <w:b/>
          <w:bCs/>
          <w:i/>
          <w:iCs/>
        </w:rPr>
        <w:t xml:space="preserve">FERC should not approve market-based rates without a workable transition to full and effective retail competition: </w:t>
      </w:r>
      <w:r>
        <w:rPr/>
        <w:t>Real competition in electricity implies retail competition. Without it, only weak price signals will be sent to customers, and limited contractual mechanisms are available to support new entry. While the Commission has until recently taken a hands-off attitude towards retailing arrangements – seeing them as purely state jurisdictional – it has become clear that wholesale-only competition will not be effective. Approval of any wholesale market-based rates for generators should therefore be contingent on ensuring that there will be true competitive forces operating at the retail level. The Commission should consider carefully the impact that transition charges, rate caps, below-market standard offer rates and other mechanisms will have on the development of retail, and by implication wholesale, competition.</w:t>
      </w:r>
    </w:p>
    <w:p>
      <w:pPr>
        <w:pStyle w:val="ListBullet1"/>
        <w:numPr>
          <w:ilvl w:val="0"/>
          <w:numId w:val="5"/>
        </w:numPr>
        <w:rPr/>
      </w:pPr>
      <w:r>
        <w:rPr>
          <w:b/>
          <w:bCs/>
          <w:i/>
          <w:iCs/>
        </w:rPr>
        <w:t>New regulatory mechanisms are needed for default customers that are not yet served by competing retailers:</w:t>
      </w:r>
      <w:r>
        <w:rPr/>
        <w:t xml:space="preserve"> It is unlikely that competing retailers can serve all customers immediately; the switching, metering and settlement costs will be too great. Some customers will still need to be served by default service providers for some time.</w:t>
      </w:r>
    </w:p>
    <w:p>
      <w:pPr>
        <w:pStyle w:val="Normal"/>
        <w:ind w:start="720" w:end="0"/>
        <w:rPr/>
      </w:pPr>
      <w:r>
        <w:rPr/>
        <w:t>New mechanisms are needed here. As we have argued earlier, an averaged spot price pass-through mechanism fails the basic test of any market price: it does not send a meaningful signal to consumers about the costs of their consumption. Better systems can easily be derived, which reflect future wholesale market prices (as indicated by forward contract prices) into retail prices. Such mechanisms have been used in most restructured jurisdictions outside the United States, and with considerable success. Again, the Commission should condition approval of new markets on the prospect of customers – even default service customers – seeing price that reflect forward-looking expectations of supply and demand.</w:t>
      </w:r>
    </w:p>
    <w:p>
      <w:pPr>
        <w:pStyle w:val="ListBullet1"/>
        <w:numPr>
          <w:ilvl w:val="0"/>
          <w:numId w:val="5"/>
        </w:numPr>
        <w:rPr>
          <w:b/>
          <w:bCs/>
          <w:i/>
          <w:i/>
          <w:iCs/>
        </w:rPr>
      </w:pPr>
      <w:r>
        <w:rPr>
          <w:b/>
          <w:bCs/>
          <w:i/>
          <w:iCs/>
        </w:rPr>
        <w:t xml:space="preserve">Large customers should be metered to encourage demand responsiveness from Day One: </w:t>
      </w:r>
      <w:r>
        <w:rPr/>
        <w:t>Hourly metering is costly if it is immediately required for all customers, but it is almost certainly cost-effective for larger customers. These customers, in turn, generally have the most potential to trim their load in response to price signals when capacity is tight or to otherwise respond to demand incentives. This form of price responsiveness is one of the primary economic benefits of restructuring in the first place.</w:t>
      </w:r>
    </w:p>
    <w:p>
      <w:pPr>
        <w:pStyle w:val="Normal"/>
        <w:ind w:start="720" w:end="0"/>
        <w:rPr/>
      </w:pPr>
      <w:r>
        <w:rPr/>
        <w:t>The competitiveness of power markets depends on the existence of price signals in the market. In most restructuring efforts, the largest volume customers have been required to switch to hourly metering and away from default service tariffs from the commencement of the market. If adopted, this policy would ensure a reasonable level of price responsiveness in the wholesale market, increasing its competitiveness. While mechanisms may be needed to safeguard these customers for price spikes, these should be designed to ensure that marginal consumption decisions are not affected.</w:t>
      </w:r>
    </w:p>
    <w:p>
      <w:pPr>
        <w:pStyle w:val="Heading2"/>
        <w:ind w:hanging="0" w:start="0"/>
        <w:rPr/>
      </w:pPr>
      <w:r>
        <w:rPr/>
        <w:t>Step 3 – Enact policies needed to increase supply</w:t>
      </w:r>
    </w:p>
    <w:p>
      <w:pPr>
        <w:pStyle w:val="Normal"/>
        <w:rPr/>
      </w:pPr>
      <w:r>
        <w:rPr/>
        <w:t>It is a fundamental economic principle that markets become contestable when new entry is cheap and easy. That is, as a result of high prices new entry will occur to discipline the pricing behaviour of incumbents. While this may not be a solution in the immediate short-term, new supply – both in terms of new generating units and greater transmission capacity – is the key long-term answer to today’s questions about the competitiveness and adequacy of wholesale supply of generation.</w:t>
      </w:r>
    </w:p>
    <w:p>
      <w:pPr>
        <w:pStyle w:val="Normal"/>
        <w:rPr/>
      </w:pPr>
      <w:r>
        <w:rPr/>
        <w:t>The policies of the FERC may have considerable impact upon the timing of new entry and the augmentation of transmission capacity. These include:</w:t>
      </w:r>
    </w:p>
    <w:p>
      <w:pPr>
        <w:pStyle w:val="ListBullet1"/>
        <w:numPr>
          <w:ilvl w:val="0"/>
          <w:numId w:val="14"/>
        </w:numPr>
        <w:rPr>
          <w:lang w:val="en-US"/>
        </w:rPr>
      </w:pPr>
      <w:r>
        <w:rPr>
          <w:b/>
          <w:bCs/>
          <w:i/>
          <w:iCs/>
          <w:lang w:val="en-US"/>
        </w:rPr>
        <w:t xml:space="preserve">Interconnection studies and charges should support competitive and market objectives: </w:t>
      </w:r>
      <w:r>
        <w:rPr>
          <w:lang w:val="en-US"/>
        </w:rPr>
        <w:t>The tariffs of many of the current ISOs give considerable discretion to transmission owners (“TOs”) in conducting the planning studies used to assess transmission charges to new generation projects. These TOs may have conflicting objectives, including minimizing their capital expenditure requirements, even if such expenditure would lead to lower prices for consumers over time. The Commission should ensure that the regulatory structures proposed for TransCos and TOs is consistent with economically efficient levels of entry, and that incumbents have no incentive or ability to slow down the process of interconnection for their own financial benefits</w:t>
      </w:r>
      <w:r>
        <w:rPr>
          <w:i/>
          <w:iCs/>
          <w:lang w:val="en-US"/>
        </w:rPr>
        <w:t>.</w:t>
      </w:r>
    </w:p>
    <w:p>
      <w:pPr>
        <w:pStyle w:val="ListBullet1"/>
        <w:numPr>
          <w:ilvl w:val="0"/>
          <w:numId w:val="28"/>
        </w:numPr>
        <w:rPr>
          <w:lang w:val="en-US"/>
        </w:rPr>
      </w:pPr>
      <w:r>
        <w:rPr>
          <w:b/>
          <w:bCs/>
          <w:i/>
          <w:iCs/>
          <w:lang w:val="en-US"/>
        </w:rPr>
        <w:t xml:space="preserve">Transmission expansions should reflect competitive and market objectives: </w:t>
      </w:r>
      <w:r>
        <w:rPr>
          <w:lang w:val="en-US"/>
        </w:rPr>
        <w:t xml:space="preserve">Substantial public and competitive benefits potentially arise from transmission expansions, including lower generation costs and losses for customers, as well as benefits from a reduced scope for generator market power. The obstacles to construction projects of this kind tend to arise in the form of extensive local and state appeal and consultation rights. The Commission should ensure that transmission expansions projects that meet the criteria of appropriate benefits tests receive proper legislative support. </w:t>
      </w:r>
    </w:p>
    <w:p>
      <w:pPr>
        <w:pStyle w:val="ListBullet1"/>
        <w:numPr>
          <w:ilvl w:val="0"/>
          <w:numId w:val="28"/>
        </w:numPr>
        <w:rPr>
          <w:lang w:val="en-US"/>
        </w:rPr>
      </w:pPr>
      <w:r>
        <w:rPr>
          <w:b/>
          <w:bCs/>
          <w:i/>
          <w:iCs/>
          <w:lang w:val="en-US"/>
        </w:rPr>
        <w:t xml:space="preserve">Price caps will eliminate incentives to build peaking generation: </w:t>
      </w:r>
      <w:r>
        <w:rPr>
          <w:lang w:val="en-US"/>
        </w:rPr>
        <w:t>As we have argued previously, market power needs to be addressed within a rigorous economic framework. However, this does not imply that high prices are always bad – as an indication of scarcity, they represent a key investment signal. It is therefore critical that any policies developed by the Commission – for market power or anything else – does not screen out these price signals. This is the first and obvious argument against the price caps that have been imposed at ever-lower levels in California, and have been proposed for the entire Western U.S. market. The Commission is right to stand by its position that price caps are self-defeating. If market power mitigation is truly needed, other mechanisms are far superior.</w:t>
      </w:r>
    </w:p>
    <w:p>
      <w:pPr>
        <w:pStyle w:val="Heading2"/>
        <w:ind w:hanging="0" w:start="0"/>
        <w:rPr/>
      </w:pPr>
      <w:r>
        <w:rPr/>
        <w:t>Step 4 - Get workable RTOs established quickly</w:t>
      </w:r>
    </w:p>
    <w:p>
      <w:pPr>
        <w:pStyle w:val="Normal"/>
        <w:rPr/>
      </w:pPr>
      <w:r>
        <w:rPr/>
        <w:t xml:space="preserve">One of the present disincentives to new investment in generation is the uncertainty inherent in an RTO process proceeding at different rates across the country, and leading to highly complex and incompatible RTO designs. In many instances, stakeholder-led processes are revisiting issues that have been discussed and resolved elsewhere. While it is clearly the case that the design of regional networks and corresponding regional circumstances differ, there is really very little argument about the basic requirements of a power market, nor of the fundamental structures required to make these work. In the final analysis, there are relatively few design choices to be made on the way to implementing a workable electricity wholesale market. </w:t>
      </w:r>
    </w:p>
    <w:p>
      <w:pPr>
        <w:pStyle w:val="Normal"/>
        <w:rPr/>
      </w:pPr>
      <w:r>
        <w:rPr/>
        <w:t xml:space="preserve">At this stage, the Commission could ensure that acceptable progress will be made towards creating workable RTOs by taking the lead and proposing a flexible, interim model for a working RTO. This could be based on the interim model described in Section </w:t>
      </w:r>
      <w:r>
        <w:rPr/>
        <w:fldChar w:fldCharType="begin"/>
      </w:r>
      <w:r>
        <w:rPr/>
        <w:instrText xml:space="preserve"> REF _Ref511626487 \r \r \h </w:instrText>
      </w:r>
      <w:r>
        <w:rPr/>
        <w:fldChar w:fldCharType="separate"/>
      </w:r>
      <w:r>
        <w:rPr/>
        <w:t>5</w:t>
      </w:r>
      <w:r>
        <w:rPr/>
        <w:fldChar w:fldCharType="end"/>
      </w:r>
      <w:r>
        <w:rPr/>
        <w:t xml:space="preserve">. With a minimal number of modifications this could be made to work in any region of the country. By standardizing on a basic RTO model a number of objectives would be achieved: </w:t>
      </w:r>
    </w:p>
    <w:p>
      <w:pPr>
        <w:pStyle w:val="ListBullet1"/>
        <w:numPr>
          <w:ilvl w:val="0"/>
          <w:numId w:val="11"/>
        </w:numPr>
        <w:rPr>
          <w:lang w:val="en-US"/>
        </w:rPr>
      </w:pPr>
      <w:r>
        <w:rPr>
          <w:b/>
          <w:bCs/>
          <w:i/>
          <w:iCs/>
          <w:lang w:val="en-US"/>
        </w:rPr>
        <w:t xml:space="preserve">Transition costs for market participants are reduced: </w:t>
      </w:r>
      <w:r>
        <w:rPr>
          <w:lang w:val="en-US"/>
        </w:rPr>
        <w:t xml:space="preserve">To the extent that at least the key elements of an RTO design would be broadly recognizable across regions, the costs to potential market participants of assessing new market opportunities are likely to be reduced. </w:t>
      </w:r>
    </w:p>
    <w:p>
      <w:pPr>
        <w:pStyle w:val="ListBullet1"/>
        <w:numPr>
          <w:ilvl w:val="0"/>
          <w:numId w:val="11"/>
        </w:numPr>
        <w:rPr>
          <w:lang w:val="en-US"/>
        </w:rPr>
      </w:pPr>
      <w:r>
        <w:rPr>
          <w:b/>
          <w:bCs/>
          <w:i/>
          <w:iCs/>
          <w:lang w:val="en-US"/>
        </w:rPr>
        <w:t xml:space="preserve">Time and resources required to get working RTOs off the ground are reduced: </w:t>
      </w:r>
      <w:r>
        <w:rPr>
          <w:lang w:val="en-US"/>
        </w:rPr>
        <w:t xml:space="preserve">Equally, the extent and detail of stakeholder input that is needed to put in place a basic RTO framework would be reduced, if the broad design options are limited. </w:t>
      </w:r>
    </w:p>
    <w:p>
      <w:pPr>
        <w:pStyle w:val="ListBullet1"/>
        <w:numPr>
          <w:ilvl w:val="0"/>
          <w:numId w:val="11"/>
        </w:numPr>
        <w:rPr>
          <w:lang w:val="en-US"/>
        </w:rPr>
      </w:pPr>
      <w:r>
        <w:rPr>
          <w:b/>
          <w:bCs/>
          <w:i/>
          <w:iCs/>
          <w:lang w:val="en-US"/>
        </w:rPr>
        <w:t xml:space="preserve">Costs of software and systems development are lowered: </w:t>
      </w:r>
      <w:r>
        <w:rPr>
          <w:lang w:val="en-US"/>
        </w:rPr>
        <w:t>On a number of occasions, market restructuring results in designs that are just sufficiently different from the next RTO to require custom software to be developed. The result has typically been high development costs and delays. By requiring RTOs to follow a basic market design model for the first period of implementation, the Commission could reduce initial transitional costs substantially. It is even conceivable that RTOs could jointly move to develop software that could be used in multiple regions. This would also allow market participants, many of whom are active in several regions of the United States, to lower the costs of developing their own systems for bidding, operations and settlement.</w:t>
      </w:r>
    </w:p>
    <w:p>
      <w:pPr>
        <w:pStyle w:val="ListBullet1"/>
        <w:rPr/>
      </w:pPr>
      <w:r>
        <w:rPr>
          <w:b/>
          <w:bCs/>
          <w:i/>
          <w:iCs/>
          <w:lang w:val="en-US"/>
        </w:rPr>
        <w:t xml:space="preserve">Sunset provisions can allow markets to evolve once experience has been gained: </w:t>
      </w:r>
      <w:r>
        <w:rPr>
          <w:lang w:val="en-US"/>
        </w:rPr>
        <w:t>All market designs will have shortcomings – it is inevitable in any human enterprise. The task before the Commission is not to develop nor approve perfect market structures, but rather to develop regulatory policies that will allow changes to be made as necessary.</w:t>
      </w:r>
    </w:p>
    <w:p>
      <w:pPr>
        <w:pStyle w:val="Normal"/>
        <w:numPr>
          <w:ilvl w:val="0"/>
          <w:numId w:val="3"/>
        </w:numPr>
        <w:rPr/>
      </w:pPr>
      <w:r>
        <w:rPr/>
        <w:t>Stakeholder led and governed RTOs will likely fail when faced with the need to change. Any particular shortcoming of the RTO design is bound to favour one or more classes of participants. These can be expected to fight any improvements, whatever their level of potential economic benefit to the market as a whole.</w:t>
      </w:r>
    </w:p>
    <w:p>
      <w:pPr>
        <w:sectPr>
          <w:headerReference w:type="default" r:id="rId41"/>
          <w:headerReference w:type="first" r:id="rId42"/>
          <w:footerReference w:type="default" r:id="rId43"/>
          <w:footerReference w:type="first" r:id="rId44"/>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numPr>
          <w:ilvl w:val="0"/>
          <w:numId w:val="3"/>
        </w:numPr>
        <w:rPr/>
      </w:pPr>
      <w:r>
        <w:rPr/>
        <w:t xml:space="preserve">One lesson is that the Commission should require sunset clauses be inserted in all RTO approvals. These clauses would force the RTO to come back for re-approval in 2-3 years, with improvements proposed to address any shortcomings found in the initial years of operations. </w:t>
      </w:r>
    </w:p>
    <w:p>
      <w:pPr>
        <w:pStyle w:val="Heading1"/>
        <w:ind w:hanging="0" w:start="0"/>
        <w:rPr/>
      </w:pPr>
      <w:bookmarkStart w:id="30" w:name="__RefHeading___Toc512698182"/>
      <w:bookmarkStart w:id="31" w:name="_Ref512401578"/>
      <w:bookmarkStart w:id="32" w:name="_Ref511626495"/>
      <w:bookmarkEnd w:id="30"/>
      <w:r>
        <w:rPr/>
        <w:t>Conclusions</w:t>
      </w:r>
      <w:bookmarkEnd w:id="31"/>
      <w:bookmarkEnd w:id="32"/>
    </w:p>
    <w:p>
      <w:pPr>
        <w:pStyle w:val="Normal"/>
        <w:rPr/>
      </w:pPr>
      <w:r>
        <w:rPr/>
        <w:t>The summer of 2001 may prove a watershed in the restructuring of the electric industry in the U.S. The shortfall of capacity in several regions of the country, especially in the West, will keep deregulation in the news. It has highlighted the need for substantial new investment in both generation and transmission assets. At the same time, the Commission has established a process under which RTOs are to be established across the country, although this process is lagging somewhat.</w:t>
      </w:r>
    </w:p>
    <w:p>
      <w:pPr>
        <w:pStyle w:val="Normal"/>
        <w:rPr/>
      </w:pPr>
      <w:r>
        <w:rPr/>
        <w:t>The two problems are linked. RTO formation will directly affect investment. Transmission investment will be driven by regulatory incentives created at the RTO level, and generation investment will be affected by RTO design and implementation. If nothing else, one factor holding up merchant generation in much of the United States is the regulatory uncertainty created by lack of clarity with respect to market rules and institutions. This is an area where the Commission can and should act to meet the key national objective of securing a reliable electricity supply.</w:t>
      </w:r>
    </w:p>
    <w:p>
      <w:pPr>
        <w:pStyle w:val="Normal"/>
        <w:rPr/>
      </w:pPr>
      <w:r>
        <w:rPr/>
        <w:t>RTOs, as currently envisioned, are a necessary but insufficient step for making competition work. They will address in theory some of the key issues that have hindered market development – workable open access and transmission pricing, market monitoring, and governance. However, the RTO formation process has suffered from numerous shortcomings:</w:t>
      </w:r>
    </w:p>
    <w:p>
      <w:pPr>
        <w:pStyle w:val="Normal"/>
        <w:numPr>
          <w:ilvl w:val="0"/>
          <w:numId w:val="4"/>
        </w:numPr>
        <w:rPr/>
      </w:pPr>
      <w:r>
        <w:rPr>
          <w:b/>
          <w:bCs/>
          <w:i/>
          <w:iCs/>
        </w:rPr>
        <w:t xml:space="preserve">Recognize the market context: </w:t>
      </w:r>
      <w:r>
        <w:rPr/>
        <w:t>RTOs are but one part of a complete power market. It is our contention that the Commission needs to start with a complete view of markets, and determine how RTO proposals fill a necessary role in a market structure. Current RTO filings may allow market structures to develop that are inimical to truly workable competition. There are no RTO requirements that will ensure retail competition will be effective, or bring demand price signals into the wholesale market. The result will be highly incomplete and flawed markets. This form of unworkable competition may prove worse than old-style regulation.</w:t>
      </w:r>
    </w:p>
    <w:p>
      <w:pPr>
        <w:pStyle w:val="Normal"/>
        <w:numPr>
          <w:ilvl w:val="0"/>
          <w:numId w:val="4"/>
        </w:numPr>
        <w:rPr/>
      </w:pPr>
      <w:r>
        <w:rPr>
          <w:b/>
          <w:bCs/>
          <w:i/>
          <w:iCs/>
        </w:rPr>
        <w:t xml:space="preserve">Address market power: </w:t>
      </w:r>
      <w:r>
        <w:rPr/>
        <w:t>As part of the RTO process, the Commission itself needs to tackle pressing issues relating to market power. The rubric used to judge prospectively whether competition will be effective is fatally flawed. Economically, using market concentration measures such as HHIs for a non-storable commodity, and where there is little or no price elasticity in most circumstances, is a recipe for disaster. Serious efforts need to be made to develop competitiveness standards that are economically consistent with the realities of markets for electric power.</w:t>
      </w:r>
    </w:p>
    <w:p>
      <w:pPr>
        <w:pStyle w:val="Normal"/>
        <w:numPr>
          <w:ilvl w:val="0"/>
          <w:numId w:val="4"/>
        </w:numPr>
        <w:rPr/>
      </w:pPr>
      <w:r>
        <w:rPr>
          <w:b/>
          <w:bCs/>
          <w:i/>
        </w:rPr>
        <w:t xml:space="preserve">Simplified structures: </w:t>
      </w:r>
      <w:r>
        <w:rPr/>
        <w:t xml:space="preserve">The RTOs proposed in many parts of the U.S. look cumbersome. A great deal of faith is being placed in transmission pricing concepts that are yet to be tested empirically. These are interesting economically, and may prove implementable in the long run. We just don’t have the facts yet. We have proposed a simplified interim RTO model that meets FERC’s RTO objectives, and the economic requirements for a robust and workable spot market. By having such a simplified interim model put in place across the country, a great deal of time and effort could be saved, and duplication avoided. More critically, investors could be assured resulting that market structures would be coherent – lowering the perceived regulatory risks in many regions. </w:t>
      </w:r>
    </w:p>
    <w:p>
      <w:pPr>
        <w:pStyle w:val="Normal"/>
        <w:numPr>
          <w:ilvl w:val="0"/>
          <w:numId w:val="4"/>
        </w:numPr>
        <w:rPr/>
      </w:pPr>
      <w:r>
        <w:rPr>
          <w:b/>
          <w:bCs/>
          <w:i/>
          <w:iCs/>
        </w:rPr>
        <w:t xml:space="preserve">Market evolution: </w:t>
      </w:r>
      <w:r>
        <w:rPr/>
        <w:t xml:space="preserve">As additional experience was gained, the interim RTO model could evolve to add some of the features proposed in current RTO designs, if these were indeed desirable. At this stage, however, the emphasis should be on practicality, and not on economic experimentation. As additional experience is gained other market structures – such as the decentralized flow rights or transmission exchanges could be incorporated. </w:t>
      </w:r>
    </w:p>
    <w:p>
      <w:pPr>
        <w:pStyle w:val="Normal"/>
        <w:rPr/>
      </w:pPr>
      <w:r>
        <w:rPr/>
        <w:t xml:space="preserve">The Commission has emphasized the need for broad regional markets for power. It has rightfully realized that an adequate geographic scope is critical for competition to flourish. This concern with the horizontal extent of markets – e.g. that RTOs will cover the geographical extent of natural market boundaries – should be matched with a concern over the “vertical” scope of markets. The balancing markets discussed in the RTO Order are but a small component of a larger market structure. If the other components of this market structure are incomplete, then the market itself will fail to produce the correct signals for savings and investment. </w:t>
      </w:r>
    </w:p>
    <w:p>
      <w:pPr>
        <w:pStyle w:val="Normal"/>
        <w:spacing w:before="0" w:after="240"/>
        <w:rPr/>
      </w:pPr>
      <w:r>
        <w:rPr/>
        <w:t>Restructuring in the United States has been hindered by the lack of an economic “blueprint”, which shows how the various aspects of competition will work: wholesale market structures, retail competition, default service, etc. This is perhaps a natural consequence of a regulatory framework that divides responsibilities between federal and state authorities. As a consequence, markets have evolved in many states – California and New York are notable examples – that are incomplete. The priority of the Commission should be to ensure that RTOs are a practical and timely part of the solution. The alternative is gradual re-regulation, or a muddle where reliability and economic objectives will not be met.</w:t>
      </w:r>
    </w:p>
    <w:sectPr>
      <w:headerReference w:type="default" r:id="rId45"/>
      <w:headerReference w:type="first" r:id="rId46"/>
      <w:footerReference w:type="default" r:id="rId47"/>
      <w:footerReference w:type="first" r:id="rId4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sto MT">
    <w:altName w:val="Century Schoolbook"/>
    <w:charset w:val="00" w:characterSet="windows-1252"/>
    <w:family w:val="roman"/>
    <w:pitch w:val="variable"/>
  </w:font>
  <w:font w:name="Helvetica">
    <w:altName w:val="Arial"/>
    <w:charset w:val="00" w:characterSet="windows-1252"/>
    <w:family w:val="swiss"/>
    <w:pitch w:val="variable"/>
  </w:font>
  <w:font w:name="Arial Unicode MS">
    <w:altName w:val="Tahoma"/>
    <w:charset w:val="80"/>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29">
              <wp:simplePos x="0" y="0"/>
              <wp:positionH relativeFrom="page">
                <wp:posOffset>6681470</wp:posOffset>
              </wp:positionH>
              <wp:positionV relativeFrom="paragraph">
                <wp:posOffset>182245</wp:posOffset>
              </wp:positionV>
              <wp:extent cx="167005" cy="117475"/>
              <wp:effectExtent l="0" t="0" r="0" b="0"/>
              <wp:wrapSquare wrapText="bothSides"/>
              <wp:docPr id="8" name="Frame8"/>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15</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15</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26">
              <wp:simplePos x="0" y="0"/>
              <wp:positionH relativeFrom="page">
                <wp:posOffset>6681470</wp:posOffset>
              </wp:positionH>
              <wp:positionV relativeFrom="paragraph">
                <wp:posOffset>182245</wp:posOffset>
              </wp:positionV>
              <wp:extent cx="167005" cy="117475"/>
              <wp:effectExtent l="0" t="0" r="0" b="0"/>
              <wp:wrapSquare wrapText="bothSides"/>
              <wp:docPr id="10" name="Frame9"/>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18</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18</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24">
              <wp:simplePos x="0" y="0"/>
              <wp:positionH relativeFrom="page">
                <wp:posOffset>6681470</wp:posOffset>
              </wp:positionH>
              <wp:positionV relativeFrom="paragraph">
                <wp:posOffset>182245</wp:posOffset>
              </wp:positionV>
              <wp:extent cx="167005" cy="117475"/>
              <wp:effectExtent l="0" t="0" r="0" b="0"/>
              <wp:wrapSquare wrapText="bothSides"/>
              <wp:docPr id="14" name="Frame10"/>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22</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22</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34">
              <wp:simplePos x="0" y="0"/>
              <wp:positionH relativeFrom="page">
                <wp:posOffset>6681470</wp:posOffset>
              </wp:positionH>
              <wp:positionV relativeFrom="paragraph">
                <wp:posOffset>182245</wp:posOffset>
              </wp:positionV>
              <wp:extent cx="167005" cy="117475"/>
              <wp:effectExtent l="0" t="0" r="0" b="0"/>
              <wp:wrapSquare wrapText="bothSides"/>
              <wp:docPr id="18" name="Frame11"/>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25</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25</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39">
              <wp:simplePos x="0" y="0"/>
              <wp:positionH relativeFrom="page">
                <wp:posOffset>6681470</wp:posOffset>
              </wp:positionH>
              <wp:positionV relativeFrom="paragraph">
                <wp:posOffset>182245</wp:posOffset>
              </wp:positionV>
              <wp:extent cx="167005" cy="117475"/>
              <wp:effectExtent l="0" t="0" r="0" b="0"/>
              <wp:wrapSquare wrapText="bothSides"/>
              <wp:docPr id="19" name="Frame12"/>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30</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30</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83"/>
      <w:rPr>
        <w:b/>
        <w:bCs/>
        <w:lang w:val="en-CA" w:eastAsia="en-CA"/>
      </w:rPr>
    </w:pPr>
    <w:r>
      <w:rPr>
        <w:b/>
        <w:bCs/>
        <w:lang w:val="en-CA" w:eastAsia="en-CA"/>
      </w:rPr>
      <w:br/>
      <w:t>April 23, 2001</w:t>
      <w:tab/>
      <w:t>D R A F T</w:t>
      <w:tab/>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i</w:t>
    </w:r>
    <w:r>
      <w:rPr>
        <w:rStyle w:val="PageNumber"/>
        <w:b/>
        <w:bCs/>
      </w:rPr>
      <w:fldChar w:fldCharType="end"/>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41">
              <wp:simplePos x="0" y="0"/>
              <wp:positionH relativeFrom="page">
                <wp:posOffset>6681470</wp:posOffset>
              </wp:positionH>
              <wp:positionV relativeFrom="paragraph">
                <wp:posOffset>182245</wp:posOffset>
              </wp:positionV>
              <wp:extent cx="167005" cy="117475"/>
              <wp:effectExtent l="0" t="0" r="0" b="0"/>
              <wp:wrapSquare wrapText="bothSides"/>
              <wp:docPr id="20" name="Frame13"/>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32</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32</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11">
              <wp:simplePos x="0" y="0"/>
              <wp:positionH relativeFrom="page">
                <wp:posOffset>6681470</wp:posOffset>
              </wp:positionH>
              <wp:positionV relativeFrom="paragraph">
                <wp:posOffset>182245</wp:posOffset>
              </wp:positionV>
              <wp:extent cx="167005" cy="117475"/>
              <wp:effectExtent l="0" t="0" r="0" b="0"/>
              <wp:wrapSquare wrapText="bothSides"/>
              <wp:docPr id="4" name="Frame5"/>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16">
              <wp:simplePos x="0" y="0"/>
              <wp:positionH relativeFrom="page">
                <wp:posOffset>6681470</wp:posOffset>
              </wp:positionH>
              <wp:positionV relativeFrom="paragraph">
                <wp:posOffset>182245</wp:posOffset>
              </wp:positionV>
              <wp:extent cx="167005" cy="117475"/>
              <wp:effectExtent l="0" t="0" r="0" b="0"/>
              <wp:wrapSquare wrapText="bothSides"/>
              <wp:docPr id="6" name="Frame6"/>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7</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7</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31">
              <wp:simplePos x="0" y="0"/>
              <wp:positionH relativeFrom="page">
                <wp:posOffset>6681470</wp:posOffset>
              </wp:positionH>
              <wp:positionV relativeFrom="paragraph">
                <wp:posOffset>182245</wp:posOffset>
              </wp:positionV>
              <wp:extent cx="167005" cy="117475"/>
              <wp:effectExtent l="0" t="0" r="0" b="0"/>
              <wp:wrapSquare wrapText="bothSides"/>
              <wp:docPr id="7" name="Frame7"/>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11</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11</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Federal Energy Regulatory Commission. 89 FERC ¶ 61,285. Docket No. RM99-2-000; Order No. 2000. “</w:t>
      </w:r>
      <w:r>
        <w:rPr>
          <w:i/>
          <w:iCs/>
        </w:rPr>
        <w:t>Regional Transmission Organizations</w:t>
      </w:r>
      <w:r>
        <w:rPr/>
        <w:t>.” Issued December 20, 1999.</w:t>
      </w:r>
    </w:p>
  </w:footnote>
  <w:footnote w:id="3">
    <w:p>
      <w:pPr>
        <w:pStyle w:val="FootnoteText"/>
        <w:suppressAutoHyphens w:val="true"/>
        <w:spacing w:before="0" w:after="240"/>
        <w:ind w:hanging="720" w:start="720" w:end="0"/>
        <w:rPr/>
      </w:pPr>
      <w:r>
        <w:rPr>
          <w:rStyle w:val="FootnoteCharacters"/>
        </w:rPr>
        <w:footnoteRef/>
      </w:r>
      <w:r>
        <w:rPr/>
        <w:t xml:space="preserve"> </w:t>
      </w:r>
      <w:r>
        <w:rPr/>
        <w:tab/>
        <w:t>A useful analogy here is the activities of an air traffic controller. Market mechanisms can be used to allocate landing slots at an airport. But given the risks of failure, and the time scales involved, few would support a market-based solution for keeping apart airliners both on final approach to the same runway.</w:t>
      </w:r>
    </w:p>
  </w:footnote>
  <w:footnote w:id="4">
    <w:p>
      <w:pPr>
        <w:pStyle w:val="FootnoteText"/>
        <w:suppressAutoHyphens w:val="true"/>
        <w:spacing w:before="0" w:after="240"/>
        <w:ind w:hanging="720" w:start="720" w:end="0"/>
        <w:rPr/>
      </w:pPr>
      <w:r>
        <w:rPr>
          <w:rStyle w:val="FootnoteCharacters"/>
        </w:rPr>
        <w:footnoteRef/>
      </w:r>
      <w:r>
        <w:rPr/>
        <w:t xml:space="preserve"> </w:t>
      </w:r>
      <w:r>
        <w:rPr/>
        <w:tab/>
        <w:t xml:space="preserve">This principle is also reflected in the extent of automation in real-time systems operation. Hence power systems rely on purely automatic mechanisms to address system frequency control in time scales in which human intervention is not possible. </w:t>
      </w:r>
    </w:p>
  </w:footnote>
  <w:footnote w:id="5">
    <w:p>
      <w:pPr>
        <w:pStyle w:val="FootnoteText"/>
        <w:suppressAutoHyphens w:val="true"/>
        <w:spacing w:before="0" w:after="240"/>
        <w:ind w:hanging="720" w:start="720" w:end="0"/>
        <w:rPr/>
      </w:pPr>
      <w:r>
        <w:rPr>
          <w:rStyle w:val="FootnoteCharacters"/>
        </w:rPr>
        <w:footnoteRef/>
      </w:r>
      <w:r>
        <w:rPr/>
        <w:t xml:space="preserve"> </w:t>
      </w:r>
      <w:r>
        <w:rPr/>
        <w:tab/>
        <w:t>See, e.g. Wolak, Frank A., Robert Nordhaus and Carl Shapiro. Market Surveillance Committee of the California Independent System Operator. “</w:t>
      </w:r>
      <w:r>
        <w:rPr>
          <w:i/>
          <w:iCs/>
        </w:rPr>
        <w:t xml:space="preserve">An Analysis of the June 2000 Price Spikes in the California ISO’s Energy and Ancillary Services Markets.” </w:t>
      </w:r>
      <w:r>
        <w:rPr/>
        <w:t>September 6, 2000.</w:t>
      </w:r>
    </w:p>
  </w:footnote>
  <w:footnote w:id="6">
    <w:p>
      <w:pPr>
        <w:pStyle w:val="FootnoteText"/>
        <w:suppressAutoHyphens w:val="true"/>
        <w:spacing w:before="0" w:after="240"/>
        <w:ind w:hanging="720" w:start="720" w:end="0"/>
        <w:rPr/>
      </w:pPr>
      <w:r>
        <w:rPr>
          <w:rStyle w:val="FootnoteCharacters"/>
        </w:rPr>
        <w:footnoteRef/>
      </w:r>
      <w:r>
        <w:rPr/>
        <w:t xml:space="preserve"> </w:t>
      </w:r>
      <w:r>
        <w:rPr/>
        <w:tab/>
        <w:t>Virtually all physical commodity markets have relied, and continue to rely, on a delivery mechanism to facilitate convergence. At the expiration of a forward contract, arbitrage between spot and forward markets then ensures that the forward price equals the spot price in the delivery market.</w:t>
      </w:r>
    </w:p>
  </w:footnote>
  <w:footnote w:id="7">
    <w:p>
      <w:pPr>
        <w:pStyle w:val="FootnoteText"/>
        <w:suppressAutoHyphens w:val="true"/>
        <w:spacing w:before="0" w:after="240"/>
        <w:ind w:hanging="720" w:start="720" w:end="0"/>
        <w:rPr/>
      </w:pPr>
      <w:r>
        <w:rPr>
          <w:rStyle w:val="FootnoteCharacters"/>
        </w:rPr>
        <w:footnoteRef/>
      </w:r>
      <w:r>
        <w:rPr/>
        <w:t xml:space="preserve"> </w:t>
      </w:r>
      <w:r>
        <w:rPr/>
        <w:tab/>
        <w:t>If the forward contract is cash-settled, these conditions must hold in the market whose price is used as the basis for the settlement index.</w:t>
      </w:r>
    </w:p>
  </w:footnote>
  <w:footnote w:id="8">
    <w:p>
      <w:pPr>
        <w:pStyle w:val="FootnoteText"/>
        <w:suppressAutoHyphens w:val="true"/>
        <w:spacing w:before="0" w:after="240"/>
        <w:ind w:hanging="720" w:start="720" w:end="0"/>
        <w:rPr/>
      </w:pPr>
      <w:r>
        <w:rPr>
          <w:rStyle w:val="FootnoteCharacters"/>
        </w:rPr>
        <w:footnoteRef/>
      </w:r>
      <w:r>
        <w:rPr/>
        <w:t xml:space="preserve"> </w:t>
      </w:r>
      <w:r>
        <w:rPr/>
        <w:tab/>
        <w:t>Hogan, W. “Contract Networks for Electric Power Transmission,”</w:t>
      </w:r>
      <w:r>
        <w:rPr>
          <w:i/>
          <w:iCs/>
        </w:rPr>
        <w:t xml:space="preserve"> Journal of Regulatory Economics</w:t>
      </w:r>
      <w:r>
        <w:rPr/>
        <w:t xml:space="preserve"> V. 4, No. 3:.211-242. 1992.</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Chao, Hung-Po, and Stephen Peck. “A Market Mechanism for Electric Power Transmission.” </w:t>
      </w:r>
      <w:r>
        <w:rPr>
          <w:i/>
        </w:rPr>
        <w:t xml:space="preserve">Journal of Regulatory Economics. </w:t>
      </w:r>
      <w:r>
        <w:rPr/>
        <w:t>10: 25-59. 1996.</w:t>
      </w:r>
    </w:p>
  </w:footnote>
  <w:footnote w:id="10">
    <w:p>
      <w:pPr>
        <w:pStyle w:val="FootnoteText"/>
        <w:suppressAutoHyphens w:val="true"/>
        <w:spacing w:before="0" w:after="240"/>
        <w:ind w:hanging="720" w:start="720" w:end="0"/>
        <w:rPr/>
      </w:pPr>
      <w:r>
        <w:rPr>
          <w:rStyle w:val="FootnoteCharacters"/>
        </w:rPr>
        <w:footnoteRef/>
      </w:r>
      <w:r>
        <w:rPr/>
        <w:t xml:space="preserve"> </w:t>
      </w:r>
      <w:r>
        <w:rPr/>
        <w:tab/>
        <w:t xml:space="preserve">Thus the Commission concluded, </w:t>
      </w:r>
      <w:r>
        <w:rPr>
          <w:i/>
          <w:iCs/>
        </w:rPr>
        <w:t>“The current proposal does not explain how GridFlorida will ensure that all available transmission capacity in each hour will be offered to customers for service. Also, the current proposal does not explain what procedures will be put in place to ensure that congestion is managed efficiently on non-flowgate facilities in instances when commercially significant congestion arises on these facilities unexpectedly. Until the flowgate issues are addressed and resolved, GridFlorida will not have a viable congestion management program.”</w:t>
      </w:r>
      <w:r>
        <w:rPr/>
        <w:t xml:space="preserve"> (Federal Energy Regulatory Commission. March 28, 2001. Docket Nos. RT01-67-000 and RT01-67-001. GridFlorida LLC, Florida Power &amp; Light Co., Florida Power Corporation, Order Provisionally Granting RTO Status.) </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For instance, the PJM “Pre-Scheduling Operations Manual” lists the data that will be submitted by PJM members for unit commitment, including start-up costs, no-load and maintain minimum costs, cost development data, a range of (physical) operating data and incremental energy price data. </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Annex 2 provides a more detailed description of the two unit commitment approaches. </w:t>
      </w:r>
    </w:p>
  </w:footnote>
  <w:footnote w:id="13">
    <w:p>
      <w:pPr>
        <w:pStyle w:val="FootnoteText"/>
        <w:suppressAutoHyphens w:val="true"/>
        <w:spacing w:before="0" w:after="240"/>
        <w:ind w:hanging="720" w:start="720" w:end="0"/>
        <w:rPr/>
      </w:pPr>
      <w:r>
        <w:rPr>
          <w:rStyle w:val="FootnoteCharacters"/>
        </w:rPr>
        <w:footnoteRef/>
      </w:r>
      <w:r>
        <w:rPr/>
        <w:t xml:space="preserve"> </w:t>
      </w:r>
      <w:r>
        <w:rPr/>
        <w:tab/>
        <w:t xml:space="preserve">For instance, there have been ongoing concerns that generators have manipulated start-up versus energy costs in the complex multi-part day-ahead auction that is integral to the NYISO wholesale power market. </w:t>
      </w:r>
    </w:p>
  </w:footnote>
  <w:footnote w:id="14">
    <w:p>
      <w:pPr>
        <w:pStyle w:val="FootnoteText"/>
        <w:suppressAutoHyphens w:val="true"/>
        <w:spacing w:before="0" w:after="240"/>
        <w:ind w:hanging="720" w:start="720" w:end="0"/>
        <w:rPr/>
      </w:pPr>
      <w:r>
        <w:rPr>
          <w:rStyle w:val="FootnoteCharacters"/>
        </w:rPr>
        <w:footnoteRef/>
      </w:r>
      <w:r>
        <w:rPr/>
        <w:t xml:space="preserve"> </w:t>
      </w:r>
      <w:r>
        <w:rPr/>
        <w:tab/>
        <w:t>If the transmission system is uncongested in the vast majority of hours there may be economic benefits to calculating only system-wide prices, and handling the few constraints outside the real-time market in order to lower transaction and information costs. However, this assumption may not hold true in most RTO applications.</w:t>
      </w:r>
    </w:p>
  </w:footnote>
  <w:footnote w:id="15">
    <w:p>
      <w:pPr>
        <w:pStyle w:val="FootnoteText"/>
        <w:suppressAutoHyphens w:val="true"/>
        <w:spacing w:before="0" w:after="240"/>
        <w:ind w:hanging="720" w:start="720" w:end="0"/>
        <w:rPr/>
      </w:pPr>
      <w:r>
        <w:rPr>
          <w:rStyle w:val="FootnoteCharacters"/>
        </w:rPr>
        <w:footnoteRef/>
      </w:r>
      <w:r>
        <w:rPr/>
        <w:t xml:space="preserve"> </w:t>
      </w:r>
      <w:r>
        <w:rPr/>
        <w:tab/>
        <w:t>Some averaging of nodal prices might occur to produce hub prices or prices for specific load zones. The ability to produce efficient “zonal” prices is contingent on the precise nature of the transmission network.</w:t>
      </w:r>
    </w:p>
  </w:footnote>
  <w:footnote w:id="16">
    <w:p>
      <w:pPr>
        <w:pStyle w:val="FootnoteText"/>
        <w:suppressAutoHyphens w:val="true"/>
        <w:spacing w:before="0" w:after="240"/>
        <w:ind w:hanging="720" w:start="720" w:end="0"/>
        <w:rPr/>
      </w:pPr>
      <w:r>
        <w:rPr>
          <w:rStyle w:val="FootnoteCharacters"/>
        </w:rPr>
        <w:footnoteRef/>
      </w:r>
      <w:r>
        <w:rPr/>
        <w:t xml:space="preserve"> </w:t>
      </w:r>
      <w:r>
        <w:rPr/>
        <w:tab/>
        <w:t>The arrangements for retail competition and default service are generally under state, not federal, jurisdiction. However, as the Commission has the ability to withhold approval to sell at market-based rates where wholesale markets (which are under Commission jurisdiction) are not competitive. State policies that force default service customers to be served only at averaged spot prices (e.g. the California PX policy) are likely to produce less competitive wholesale market outcomes, as customers will not see forward-looking price signals.</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This is similar to work being undertaken by the NERC Distribution Factor Task Force to model power flows across the Eastern Interconnection and define transmission system interfaces and “flowgates”. </w:t>
      </w:r>
    </w:p>
  </w:footnote>
  <w:footnote w:id="18">
    <w:p>
      <w:pPr>
        <w:pStyle w:val="FootnoteText"/>
        <w:suppressAutoHyphens w:val="true"/>
        <w:spacing w:before="0" w:after="240"/>
        <w:ind w:hanging="720" w:start="720" w:end="0"/>
        <w:rPr/>
      </w:pPr>
      <w:r>
        <w:rPr>
          <w:rStyle w:val="FootnoteCharacters"/>
        </w:rPr>
        <w:footnoteRef/>
      </w:r>
      <w:r>
        <w:rPr/>
        <w:t xml:space="preserve"> </w:t>
      </w:r>
      <w:r>
        <w:rPr/>
        <w:tab/>
        <w:t>Seabron Adamson, “Design of a Transmission Portfolio Exchange”, unpublished mimeo, Frontier Economics, 2000.</w:t>
      </w:r>
    </w:p>
  </w:footnote>
  <w:footnote w:id="19">
    <w:p>
      <w:pPr>
        <w:pStyle w:val="FootnoteText"/>
        <w:suppressAutoHyphens w:val="true"/>
        <w:spacing w:before="0" w:after="240"/>
        <w:ind w:hanging="720" w:start="720" w:end="0"/>
        <w:rPr/>
      </w:pPr>
      <w:r>
        <w:rPr>
          <w:rStyle w:val="FootnoteCharacters"/>
        </w:rPr>
        <w:footnoteRef/>
      </w:r>
      <w:r>
        <w:rPr/>
        <w:t xml:space="preserve"> </w:t>
      </w:r>
      <w:r>
        <w:rPr/>
        <w:tab/>
        <w:t>How many rights across individual lines are required depends on the topology of the network, as described by the power flow distribution factor (“PTDF”) matrix.</w:t>
      </w:r>
    </w:p>
  </w:footnote>
  <w:footnote w:id="20">
    <w:p>
      <w:pPr>
        <w:pStyle w:val="FootnoteText"/>
        <w:suppressAutoHyphens w:val="true"/>
        <w:spacing w:before="0" w:after="240"/>
        <w:ind w:hanging="720" w:start="720" w:end="0"/>
        <w:rPr/>
      </w:pPr>
      <w:r>
        <w:rPr>
          <w:rStyle w:val="FootnoteCharacters"/>
        </w:rPr>
        <w:footnoteRef/>
      </w:r>
      <w:r>
        <w:rPr/>
        <w:t xml:space="preserve"> </w:t>
      </w:r>
      <w:r>
        <w:rPr/>
        <w:tab/>
        <w:t>This form of contract auction has been used successfully in Alberta to address the market power of three incumbent generators in a market with relatively weak ties to neighboring systems. The output of thermal generators owned by the incumbents was auctioned off under contracts that allow the new owners to control bidding.</w:t>
      </w:r>
    </w:p>
  </w:footnote>
  <w:footnote w:id="21">
    <w:p>
      <w:pPr>
        <w:pStyle w:val="FootnoteText"/>
        <w:rPr/>
      </w:pPr>
      <w:r>
        <w:rPr>
          <w:rStyle w:val="FootnoteCharacters"/>
        </w:rPr>
        <w:footnoteRef/>
      </w:r>
      <w:r>
        <w:rPr/>
        <w:t xml:space="preserve"> </w:t>
      </w:r>
      <w:r>
        <w:rPr/>
        <w:tab/>
        <w:t xml:space="preserve">Federal Energy Regulatory Commission. Issued November 1, 2000. Market Order Proposing Remedies for California Wholesale Electric Sales. </w:t>
      </w:r>
    </w:p>
    <w:p>
      <w:pPr>
        <w:pStyle w:val="FootnoteText"/>
        <w:suppressAutoHyphens w:val="true"/>
        <w:spacing w:before="0" w:after="240"/>
        <w:ind w:hanging="720" w:start="720" w:end="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2"/>
      <w:pBdr>
        <w:bottom w:val="single" w:sz="12" w:space="1" w:color="000000"/>
      </w:pBdr>
      <w:spacing w:before="120" w:after="120"/>
      <w:jc w:val="center"/>
      <w:rPr>
        <w:smallCaps/>
        <w:sz w:val="32"/>
      </w:rPr>
    </w:pPr>
    <w:r>
      <w:rPr>
        <w:sz w:val="32"/>
      </w:rPr>
      <w:t>Table of contents</w:t>
      <w:br/>
    </w:r>
  </w:p>
  <w:p>
    <w:pPr>
      <w:pStyle w:val="Normal"/>
      <w:rPr>
        <w:smallCaps/>
        <w:sz w:val="32"/>
      </w:rPr>
    </w:pPr>
    <w:r>
      <w:rPr>
        <w:smallCaps/>
        <w:sz w:val="32"/>
      </w:rPr>
    </w:r>
  </w:p>
  <w:p>
    <w:pPr>
      <w:pStyle w:val="Head2"/>
      <w:spacing w:before="120" w:after="120"/>
      <w:rPr>
        <w:sz w:val="28"/>
      </w:rPr>
    </w:pPr>
    <w:r>
      <w:rPr>
        <w:sz w:val="28"/>
      </w:rPr>
      <w:t>Section</w:t>
      <w:tab/>
      <w:tab/>
      <w:tab/>
      <w:tab/>
      <w:tab/>
      <w:tab/>
      <w:tab/>
      <w:tab/>
      <w:tab/>
      <w:t>Page</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1440"/>
        </w:tabs>
        <w:ind w:start="1440" w:hanging="360"/>
      </w:pPr>
      <w:rPr>
        <w:rFonts w:ascii="Symbol" w:hAnsi="Symbol" w:cs="Symbol" w:hint="default"/>
      </w:rPr>
    </w:lvl>
  </w:abstractNum>
  <w:abstractNum w:abstractNumId="16">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720"/>
        </w:tabs>
        <w:ind w:start="72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Wingdings" w:hAnsi="Wingdings" w:cs="Wingdings" w:hint="default"/>
      </w:rPr>
    </w:lvl>
  </w:abstractNum>
  <w:abstractNum w:abstractNumId="20">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Wingdings" w:hAnsi="Wingdings" w:cs="Wingdings" w:hint="default"/>
      </w:rPr>
    </w:lvl>
  </w:abstractNum>
  <w:abstractNum w:abstractNumId="22">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3">
    <w:lvl w:ilvl="0">
      <w:start w:val="1"/>
      <w:numFmt w:val="bullet"/>
      <w:lvlText w:val=""/>
      <w:lvlJc w:val="start"/>
      <w:pPr>
        <w:tabs>
          <w:tab w:val="num" w:pos="720"/>
        </w:tabs>
        <w:ind w:start="720" w:hanging="360"/>
      </w:pPr>
      <w:rPr>
        <w:rFonts w:ascii="Wingdings" w:hAnsi="Wingdings" w:cs="Wingdings" w:hint="default"/>
      </w:rPr>
    </w:lvl>
  </w:abstractNum>
  <w:abstractNum w:abstractNumId="24">
    <w:lvl w:ilvl="0">
      <w:start w:val="1"/>
      <w:numFmt w:val="bullet"/>
      <w:lvlText w:val=""/>
      <w:lvlJc w:val="start"/>
      <w:pPr>
        <w:tabs>
          <w:tab w:val="num" w:pos="720"/>
        </w:tabs>
        <w:ind w:start="720" w:hanging="360"/>
      </w:pPr>
      <w:rPr>
        <w:rFonts w:ascii="Wingdings" w:hAnsi="Wingdings" w:cs="Wingdings" w:hint="default"/>
      </w:rPr>
    </w:lvl>
  </w:abstractNum>
  <w:abstractNum w:abstractNumId="25">
    <w:lvl w:ilvl="0">
      <w:start w:val="1"/>
      <w:numFmt w:val="bullet"/>
      <w:lvlText w:val=""/>
      <w:lvlJc w:val="start"/>
      <w:pPr>
        <w:tabs>
          <w:tab w:val="num" w:pos="720"/>
        </w:tabs>
        <w:ind w:start="720" w:hanging="360"/>
      </w:pPr>
      <w:rPr>
        <w:rFonts w:ascii="Wingdings" w:hAnsi="Wingdings" w:cs="Wingdings" w:hint="default"/>
      </w:rPr>
    </w:lvl>
  </w:abstractNum>
  <w:abstractNum w:abstractNumId="26">
    <w:lvl w:ilvl="0">
      <w:start w:val="1"/>
      <w:numFmt w:val="bullet"/>
      <w:lvlText w:val=""/>
      <w:lvlJc w:val="start"/>
      <w:pPr>
        <w:tabs>
          <w:tab w:val="num" w:pos="720"/>
        </w:tabs>
        <w:ind w:start="720" w:hanging="360"/>
      </w:pPr>
      <w:rPr>
        <w:rFonts w:ascii="Wingdings" w:hAnsi="Wingdings" w:cs="Wingdings" w:hint="default"/>
      </w:rPr>
    </w:lvl>
  </w:abstractNum>
  <w:abstractNum w:abstractNumId="27">
    <w:lvl w:ilvl="0">
      <w:start w:val="1"/>
      <w:numFmt w:val="bullet"/>
      <w:lvlText w:val=""/>
      <w:lvlJc w:val="start"/>
      <w:pPr>
        <w:tabs>
          <w:tab w:val="num" w:pos="720"/>
        </w:tabs>
        <w:ind w:start="720" w:hanging="360"/>
      </w:pPr>
      <w:rPr>
        <w:rFonts w:ascii="Wingdings" w:hAnsi="Wingdings" w:cs="Wingdings" w:hint="default"/>
      </w:rPr>
    </w:lvl>
  </w:abstractNum>
  <w:abstractNum w:abstractNumId="28">
    <w:lvl w:ilvl="0">
      <w:start w:val="1"/>
      <w:numFmt w:val="bullet"/>
      <w:lvlText w:val=""/>
      <w:lvlJc w:val="start"/>
      <w:pPr>
        <w:tabs>
          <w:tab w:val="num" w:pos="720"/>
        </w:tabs>
        <w:ind w:start="720" w:hanging="360"/>
      </w:pPr>
      <w:rPr>
        <w:rFonts w:ascii="Wingdings" w:hAnsi="Wingdings" w:cs="Wingdings" w:hint="default"/>
      </w:rPr>
    </w:lvl>
  </w:abstractNum>
  <w:abstractNum w:abstractNumId="29">
    <w:lvl w:ilvl="0">
      <w:start w:val="1"/>
      <w:numFmt w:val="bullet"/>
      <w:lvlText w:val=""/>
      <w:lvlJc w:val="start"/>
      <w:pPr>
        <w:tabs>
          <w:tab w:val="num" w:pos="720"/>
        </w:tabs>
        <w:ind w:start="720" w:hanging="360"/>
      </w:pPr>
      <w:rPr>
        <w:rFonts w:ascii="Wingdings" w:hAnsi="Wingdings" w:cs="Wingdings" w:hint="default"/>
      </w:rPr>
    </w:lvl>
  </w:abstractNum>
  <w:abstractNum w:abstractNumId="3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AU"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Times New Roman" w:hAnsi="Times New Roman" w:eastAsia="Times New Roman" w:cs="Times New Roman"/>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2z1">
    <w:name w:val="WW8Num12z1"/>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rPr>
  </w:style>
  <w:style w:type="character" w:styleId="WW8Num44z3">
    <w:name w:val="WW8Num44z3"/>
    <w:qFormat/>
    <w:rPr>
      <w:rFonts w:ascii="Symbol" w:hAnsi="Symbol" w:cs="Symbol"/>
    </w:rPr>
  </w:style>
  <w:style w:type="character" w:styleId="WW8Num44z4">
    <w:name w:val="WW8Num44z4"/>
    <w:qFormat/>
    <w:rPr>
      <w:rFonts w:ascii="Courier New" w:hAnsi="Courier New" w:cs="Courier New"/>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Wingdings" w:hAnsi="Wingdings" w:cs="Wingdings"/>
    </w:rPr>
  </w:style>
  <w:style w:type="character" w:styleId="WW8Num48z3">
    <w:name w:val="WW8Num48z3"/>
    <w:qFormat/>
    <w:rPr>
      <w:rFonts w:ascii="Symbol" w:hAnsi="Symbol" w:cs="Symbol"/>
    </w:rPr>
  </w:style>
  <w:style w:type="character" w:styleId="WW8Num48z4">
    <w:name w:val="WW8Num48z4"/>
    <w:qFormat/>
    <w:rPr>
      <w:rFonts w:ascii="Courier New" w:hAnsi="Courier New" w:cs="Courier New"/>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Times New Roman" w:hAnsi="Times New Roman" w:eastAsia="Times New Roman" w:cs="Times New Roman"/>
    </w:rPr>
  </w:style>
  <w:style w:type="character" w:styleId="WW8Num55z3">
    <w:name w:val="WW8Num55z3"/>
    <w:qFormat/>
    <w:rPr>
      <w:rFonts w:ascii="Symbol" w:hAnsi="Symbol" w:cs="Symbol"/>
    </w:rPr>
  </w:style>
  <w:style w:type="character" w:styleId="WW8Num55z4">
    <w:name w:val="WW8Num55z4"/>
    <w:qFormat/>
    <w:rPr>
      <w:rFonts w:ascii="Courier New" w:hAnsi="Courier New" w:cs="Courier New"/>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3">
    <w:name w:val="WW8Num57z3"/>
    <w:qFormat/>
    <w:rPr>
      <w:rFonts w:ascii="Symbol" w:hAnsi="Symbol" w:cs="Symbol"/>
    </w:rPr>
  </w:style>
  <w:style w:type="character" w:styleId="WW8Num57z4">
    <w:name w:val="WW8Num57z4"/>
    <w:qFormat/>
    <w:rPr>
      <w:rFonts w:ascii="Courier New" w:hAnsi="Courier New" w:cs="Courier New"/>
    </w:rPr>
  </w:style>
  <w:style w:type="character" w:styleId="WW8Num58z0">
    <w:name w:val="WW8Num58z0"/>
    <w:qFormat/>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Wingdings" w:hAnsi="Wingdings" w:cs="Wingdings"/>
    </w:rPr>
  </w:style>
  <w:style w:type="character" w:styleId="WW8Num63z1">
    <w:name w:val="WW8Num63z1"/>
    <w:qFormat/>
    <w:rPr>
      <w:rFonts w:ascii="Courier New" w:hAnsi="Courier New" w:cs="Courier New"/>
    </w:rPr>
  </w:style>
  <w:style w:type="character" w:styleId="WW8Num63z3">
    <w:name w:val="WW8Num63z3"/>
    <w:qFormat/>
    <w:rPr>
      <w:rFonts w:ascii="Symbol" w:hAnsi="Symbol" w:cs="Symbol"/>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Wingdings" w:hAnsi="Wingdings" w:cs="Wingdings"/>
    </w:rPr>
  </w:style>
  <w:style w:type="character" w:styleId="WW8Num68z3">
    <w:name w:val="WW8Num68z3"/>
    <w:qFormat/>
    <w:rPr>
      <w:rFonts w:ascii="Symbol" w:hAnsi="Symbol" w:cs="Symbol"/>
    </w:rPr>
  </w:style>
  <w:style w:type="character" w:styleId="WW8Num68z4">
    <w:name w:val="WW8Num68z4"/>
    <w:qFormat/>
    <w:rPr>
      <w:rFonts w:ascii="Courier New" w:hAnsi="Courier New" w:cs="Courier New"/>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Wingdings" w:hAnsi="Wingdings" w:cs="Wingdings"/>
    </w:rPr>
  </w:style>
  <w:style w:type="character" w:styleId="WW8Num70z3">
    <w:name w:val="WW8Num70z3"/>
    <w:qFormat/>
    <w:rPr>
      <w:rFonts w:ascii="Symbol" w:hAnsi="Symbol" w:cs="Symbol"/>
    </w:rPr>
  </w:style>
  <w:style w:type="character" w:styleId="WW8Num70z4">
    <w:name w:val="WW8Num70z4"/>
    <w:qFormat/>
    <w:rPr>
      <w:rFonts w:ascii="Courier New" w:hAnsi="Courier New" w:cs="Courier New"/>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rFonts w:ascii="Wingdings" w:hAnsi="Wingdings" w:cs="Wingdings"/>
    </w:rPr>
  </w:style>
  <w:style w:type="character" w:styleId="WW8Num75z1">
    <w:name w:val="WW8Num75z1"/>
    <w:qFormat/>
    <w:rPr>
      <w:rFonts w:ascii="Courier New" w:hAnsi="Courier New" w:cs="Courier New"/>
    </w:rPr>
  </w:style>
  <w:style w:type="character" w:styleId="WW8Num75z3">
    <w:name w:val="WW8Num75z3"/>
    <w:qFormat/>
    <w:rPr>
      <w:rFonts w:ascii="Symbol" w:hAnsi="Symbol" w:cs="Symbol"/>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Wingdings" w:hAnsi="Wingdings" w:cs="Wingdings"/>
    </w:rPr>
  </w:style>
  <w:style w:type="character" w:styleId="WW8Num77z1">
    <w:name w:val="WW8Num77z1"/>
    <w:qFormat/>
    <w:rPr>
      <w:rFonts w:ascii="Courier New" w:hAnsi="Courier New" w:cs="Courier New"/>
    </w:rPr>
  </w:style>
  <w:style w:type="character" w:styleId="WW8Num77z3">
    <w:name w:val="WW8Num77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Wingdings" w:hAnsi="Wingdings" w:cs="Wingdings"/>
    </w:rPr>
  </w:style>
  <w:style w:type="character" w:styleId="WW8Num80z1">
    <w:name w:val="WW8Num80z1"/>
    <w:qFormat/>
    <w:rPr>
      <w:rFonts w:ascii="Courier New" w:hAnsi="Courier New" w:cs="Courier New"/>
    </w:rPr>
  </w:style>
  <w:style w:type="character" w:styleId="WW8Num80z3">
    <w:name w:val="WW8Num80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2z0">
    <w:name w:val="WW8Num82z0"/>
    <w:qFormat/>
    <w:rPr>
      <w:rFonts w:ascii="Wingdings" w:hAnsi="Wingdings" w:cs="Wingdings"/>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Wingdings" w:hAnsi="Wingdings" w:cs="Wingdings"/>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WW8Num84z0">
    <w:name w:val="WW8Num84z0"/>
    <w:qFormat/>
    <w:rPr>
      <w:rFonts w:ascii="Wingdings" w:hAnsi="Wingdings" w:cs="Wingdings"/>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Wingdings" w:hAnsi="Wingdings" w:cs="Wingdings"/>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Wingdings" w:hAnsi="Wingdings" w:cs="Wingdings"/>
    </w:rPr>
  </w:style>
  <w:style w:type="character" w:styleId="WW8Num87z3">
    <w:name w:val="WW8Num87z3"/>
    <w:qFormat/>
    <w:rPr>
      <w:rFonts w:ascii="Symbol" w:hAnsi="Symbol" w:cs="Symbol"/>
    </w:rPr>
  </w:style>
  <w:style w:type="character" w:styleId="WW8Num87z4">
    <w:name w:val="WW8Num87z4"/>
    <w:qFormat/>
    <w:rPr>
      <w:rFonts w:ascii="Courier New" w:hAnsi="Courier New" w:cs="Courier New"/>
    </w:rPr>
  </w:style>
  <w:style w:type="character" w:styleId="WW8Num88z0">
    <w:name w:val="WW8Num88z0"/>
    <w:qFormat/>
    <w:rPr>
      <w:rFonts w:ascii="Wingdings" w:hAnsi="Wingdings" w:cs="Wingdings"/>
    </w:rPr>
  </w:style>
  <w:style w:type="character" w:styleId="WW8Num88z1">
    <w:name w:val="WW8Num88z1"/>
    <w:qFormat/>
    <w:rPr>
      <w:rFonts w:ascii="Courier New" w:hAnsi="Courier New" w:cs="Courier New"/>
    </w:rPr>
  </w:style>
  <w:style w:type="character" w:styleId="WW8Num88z3">
    <w:name w:val="WW8Num88z3"/>
    <w:qFormat/>
    <w:rPr>
      <w:rFonts w:ascii="Symbol" w:hAnsi="Symbol" w:cs="Symbol"/>
    </w:rPr>
  </w:style>
  <w:style w:type="character" w:styleId="WW8Num89z0">
    <w:name w:val="WW8Num89z0"/>
    <w:qFormat/>
    <w:rPr>
      <w:rFonts w:ascii="Wingdings" w:hAnsi="Wingdings" w:cs="Wingdings"/>
    </w:rPr>
  </w:style>
  <w:style w:type="character" w:styleId="WW8Num89z1">
    <w:name w:val="WW8Num89z1"/>
    <w:qFormat/>
    <w:rPr>
      <w:rFonts w:ascii="Times New Roman" w:hAnsi="Times New Roman" w:eastAsia="Times New Roman" w:cs="Times New Roman"/>
    </w:rPr>
  </w:style>
  <w:style w:type="character" w:styleId="WW8Num89z3">
    <w:name w:val="WW8Num89z3"/>
    <w:qFormat/>
    <w:rPr>
      <w:rFonts w:ascii="Symbol" w:hAnsi="Symbol" w:cs="Symbol"/>
    </w:rPr>
  </w:style>
  <w:style w:type="character" w:styleId="WW8Num89z4">
    <w:name w:val="WW8Num89z4"/>
    <w:qFormat/>
    <w:rPr>
      <w:rFonts w:ascii="Courier New" w:hAnsi="Courier New" w:cs="Courier New"/>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Wingdings" w:hAnsi="Wingdings" w:cs="Wingdings"/>
    </w:rPr>
  </w:style>
  <w:style w:type="character" w:styleId="WW8Num92z3">
    <w:name w:val="WW8Num92z3"/>
    <w:qFormat/>
    <w:rPr>
      <w:rFonts w:ascii="Symbol" w:hAnsi="Symbol" w:cs="Symbol"/>
    </w:rPr>
  </w:style>
  <w:style w:type="character" w:styleId="WW8Num92z4">
    <w:name w:val="WW8Num92z4"/>
    <w:qFormat/>
    <w:rPr>
      <w:rFonts w:ascii="Courier New" w:hAnsi="Courier New" w:cs="Courier New"/>
    </w:rPr>
  </w:style>
  <w:style w:type="character" w:styleId="WW8Num93z0">
    <w:name w:val="WW8Num93z0"/>
    <w:qFormat/>
    <w:rPr>
      <w:rFonts w:ascii="Wingdings" w:hAnsi="Wingdings" w:cs="Wingdings"/>
    </w:rPr>
  </w:style>
  <w:style w:type="character" w:styleId="WW8Num93z3">
    <w:name w:val="WW8Num93z3"/>
    <w:qFormat/>
    <w:rPr>
      <w:rFonts w:ascii="Symbol" w:hAnsi="Symbol" w:cs="Symbol"/>
    </w:rPr>
  </w:style>
  <w:style w:type="character" w:styleId="WW8Num93z4">
    <w:name w:val="WW8Num93z4"/>
    <w:qFormat/>
    <w:rPr>
      <w:rFonts w:ascii="Courier New" w:hAnsi="Courier New" w:cs="Courier New"/>
    </w:rPr>
  </w:style>
  <w:style w:type="character" w:styleId="WW8Num94z0">
    <w:name w:val="WW8Num94z0"/>
    <w:qFormat/>
    <w:rPr>
      <w:rFonts w:ascii="Wingdings" w:hAnsi="Wingdings" w:cs="Wingdings"/>
    </w:rPr>
  </w:style>
  <w:style w:type="character" w:styleId="WW8Num94z1">
    <w:name w:val="WW8Num94z1"/>
    <w:qFormat/>
    <w:rPr>
      <w:rFonts w:ascii="Times New Roman" w:hAnsi="Times New Roman" w:eastAsia="Times New Roman" w:cs="Times New Roman"/>
    </w:rPr>
  </w:style>
  <w:style w:type="character" w:styleId="WW8Num94z3">
    <w:name w:val="WW8Num94z3"/>
    <w:qFormat/>
    <w:rPr>
      <w:rFonts w:ascii="Symbol" w:hAnsi="Symbol" w:cs="Symbol"/>
    </w:rPr>
  </w:style>
  <w:style w:type="character" w:styleId="WW8Num94z4">
    <w:name w:val="WW8Num94z4"/>
    <w:qFormat/>
    <w:rPr>
      <w:rFonts w:ascii="Courier New" w:hAnsi="Courier New" w:cs="Courier New"/>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Wingdings" w:hAnsi="Wingdings" w:cs="Wingdings"/>
    </w:rPr>
  </w:style>
  <w:style w:type="character" w:styleId="WW8Num97z0">
    <w:name w:val="WW8Num97z0"/>
    <w:qFormat/>
    <w:rPr>
      <w:rFonts w:ascii="Wingdings" w:hAnsi="Wingdings" w:cs="Wingdings"/>
    </w:rPr>
  </w:style>
  <w:style w:type="character" w:styleId="WW8Num97z1">
    <w:name w:val="WW8Num97z1"/>
    <w:qFormat/>
    <w:rPr>
      <w:rFonts w:ascii="Courier New" w:hAnsi="Courier New" w:cs="Courier New"/>
    </w:rPr>
  </w:style>
  <w:style w:type="character" w:styleId="WW8Num97z3">
    <w:name w:val="WW8Num97z3"/>
    <w:qFormat/>
    <w:rPr>
      <w:rFonts w:ascii="Symbol" w:hAnsi="Symbol" w:cs="Symbol"/>
    </w:rPr>
  </w:style>
  <w:style w:type="character" w:styleId="WW8Num98z0">
    <w:name w:val="WW8Num98z0"/>
    <w:qFormat/>
    <w:rPr>
      <w:rFonts w:ascii="Wingdings" w:hAnsi="Wingdings" w:cs="Wingdings"/>
    </w:rPr>
  </w:style>
  <w:style w:type="character" w:styleId="WW8Num98z1">
    <w:name w:val="WW8Num98z1"/>
    <w:qFormat/>
    <w:rPr>
      <w:rFonts w:ascii="Symbol" w:hAnsi="Symbol" w:cs="Symbol"/>
    </w:rPr>
  </w:style>
  <w:style w:type="character" w:styleId="WW8Num98z4">
    <w:name w:val="WW8Num98z4"/>
    <w:qFormat/>
    <w:rPr>
      <w:rFonts w:ascii="Courier New" w:hAnsi="Courier New" w:cs="Courier New"/>
    </w:rPr>
  </w:style>
  <w:style w:type="character" w:styleId="WW8Num99z0">
    <w:name w:val="WW8Num99z0"/>
    <w:qFormat/>
    <w:rPr>
      <w:rFonts w:ascii="Wingdings" w:hAnsi="Wingdings" w:cs="Wingdings"/>
    </w:rPr>
  </w:style>
  <w:style w:type="character" w:styleId="WW8Num99z1">
    <w:name w:val="WW8Num99z1"/>
    <w:qFormat/>
    <w:rPr>
      <w:rFonts w:ascii="Courier New" w:hAnsi="Courier New" w:cs="Courier New"/>
    </w:rPr>
  </w:style>
  <w:style w:type="character" w:styleId="WW8Num99z3">
    <w:name w:val="WW8Num99z3"/>
    <w:qFormat/>
    <w:rPr>
      <w:rFonts w:ascii="Symbol" w:hAnsi="Symbol" w:cs="Symbol"/>
    </w:rPr>
  </w:style>
  <w:style w:type="character" w:styleId="WW8Num100z0">
    <w:name w:val="WW8Num100z0"/>
    <w:qFormat/>
    <w:rPr>
      <w:rFonts w:ascii="Wingdings" w:hAnsi="Wingdings" w:cs="Wingdings"/>
    </w:rPr>
  </w:style>
  <w:style w:type="character" w:styleId="WW8Num100z1">
    <w:name w:val="WW8Num100z1"/>
    <w:qFormat/>
    <w:rPr>
      <w:rFonts w:ascii="Courier New" w:hAnsi="Courier New" w:cs="Courier New"/>
    </w:rPr>
  </w:style>
  <w:style w:type="character" w:styleId="WW8Num100z3">
    <w:name w:val="WW8Num100z3"/>
    <w:qFormat/>
    <w:rPr>
      <w:rFonts w:ascii="Symbol" w:hAnsi="Symbol" w:cs="Symbol"/>
    </w:rPr>
  </w:style>
  <w:style w:type="character" w:styleId="WW8Num101z0">
    <w:name w:val="WW8Num101z0"/>
    <w:qFormat/>
    <w:rPr>
      <w:rFonts w:ascii="Wingdings" w:hAnsi="Wingdings" w:cs="Wingdings"/>
    </w:rPr>
  </w:style>
  <w:style w:type="character" w:styleId="WW8Num101z1">
    <w:name w:val="WW8Num101z1"/>
    <w:qFormat/>
    <w:rPr>
      <w:rFonts w:ascii="Courier New" w:hAnsi="Courier New" w:cs="Courier New"/>
    </w:rPr>
  </w:style>
  <w:style w:type="character" w:styleId="WW8Num101z3">
    <w:name w:val="WW8Num101z3"/>
    <w:qFormat/>
    <w:rPr>
      <w:rFonts w:ascii="Symbol" w:hAnsi="Symbol" w:cs="Symbol"/>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Wingdings" w:hAnsi="Wingdings" w:cs="Wingdings"/>
    </w:rPr>
  </w:style>
  <w:style w:type="character" w:styleId="WW8Num104z1">
    <w:name w:val="WW8Num104z1"/>
    <w:qFormat/>
    <w:rPr>
      <w:rFonts w:ascii="Courier New" w:hAnsi="Courier New" w:cs="Courier New"/>
    </w:rPr>
  </w:style>
  <w:style w:type="character" w:styleId="WW8Num104z3">
    <w:name w:val="WW8Num104z3"/>
    <w:qFormat/>
    <w:rPr>
      <w:rFonts w:ascii="Symbol" w:hAnsi="Symbol" w:cs="Symbol"/>
    </w:rPr>
  </w:style>
  <w:style w:type="character" w:styleId="WW8Num105z0">
    <w:name w:val="WW8Num105z0"/>
    <w:qFormat/>
    <w:rPr/>
  </w:style>
  <w:style w:type="character" w:styleId="WW8Num106z0">
    <w:name w:val="WW8Num106z0"/>
    <w:qFormat/>
    <w:rPr>
      <w:rFonts w:ascii="Wingdings" w:hAnsi="Wingdings" w:cs="Wingdings"/>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7z0">
    <w:name w:val="WW8Num107z0"/>
    <w:qFormat/>
    <w:rPr>
      <w:rFonts w:ascii="Wingdings" w:hAnsi="Wingdings" w:cs="Wingdings"/>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WW8Num108z0">
    <w:name w:val="WW8Num108z0"/>
    <w:qFormat/>
    <w:rPr>
      <w:rFonts w:ascii="Wingdings" w:hAnsi="Wingdings" w:cs="Wingdings"/>
    </w:rPr>
  </w:style>
  <w:style w:type="character" w:styleId="WW8Num108z3">
    <w:name w:val="WW8Num108z3"/>
    <w:qFormat/>
    <w:rPr>
      <w:rFonts w:ascii="Symbol" w:hAnsi="Symbol" w:cs="Symbol"/>
    </w:rPr>
  </w:style>
  <w:style w:type="character" w:styleId="WW8Num108z4">
    <w:name w:val="WW8Num108z4"/>
    <w:qFormat/>
    <w:rPr>
      <w:rFonts w:ascii="Courier New" w:hAnsi="Courier New" w:cs="Courier New"/>
    </w:rPr>
  </w:style>
  <w:style w:type="character" w:styleId="WW8Num109z0">
    <w:name w:val="WW8Num109z0"/>
    <w:qFormat/>
    <w:rPr>
      <w:rFonts w:ascii="Wingdings" w:hAnsi="Wingdings" w:cs="Wingdings"/>
    </w:rPr>
  </w:style>
  <w:style w:type="character" w:styleId="WW8Num109z1">
    <w:name w:val="WW8Num109z1"/>
    <w:qFormat/>
    <w:rPr>
      <w:rFonts w:ascii="Courier New" w:hAnsi="Courier New" w:cs="Courier New"/>
    </w:rPr>
  </w:style>
  <w:style w:type="character" w:styleId="WW8Num109z3">
    <w:name w:val="WW8Num109z3"/>
    <w:qFormat/>
    <w:rPr>
      <w:rFonts w:ascii="Symbol" w:hAnsi="Symbol" w:cs="Symbol"/>
    </w:rPr>
  </w:style>
  <w:style w:type="character" w:styleId="WW8Num110z0">
    <w:name w:val="WW8Num110z0"/>
    <w:qFormat/>
    <w:rPr>
      <w:rFonts w:ascii="Wingdings" w:hAnsi="Wingdings" w:cs="Wingdings"/>
    </w:rPr>
  </w:style>
  <w:style w:type="character" w:styleId="WW8Num110z3">
    <w:name w:val="WW8Num110z3"/>
    <w:qFormat/>
    <w:rPr>
      <w:rFonts w:ascii="Symbol" w:hAnsi="Symbol" w:cs="Symbol"/>
    </w:rPr>
  </w:style>
  <w:style w:type="character" w:styleId="WW8Num110z4">
    <w:name w:val="WW8Num110z4"/>
    <w:qFormat/>
    <w:rPr>
      <w:rFonts w:ascii="Courier New" w:hAnsi="Courier New" w:cs="Courier New"/>
    </w:rPr>
  </w:style>
  <w:style w:type="character" w:styleId="WW8Num111z0">
    <w:name w:val="WW8Num111z0"/>
    <w:qFormat/>
    <w:rPr>
      <w:rFonts w:ascii="Wingdings" w:hAnsi="Wingdings" w:cs="Wingdings"/>
    </w:rPr>
  </w:style>
  <w:style w:type="character" w:styleId="WW8Num111z1">
    <w:name w:val="WW8Num111z1"/>
    <w:qFormat/>
    <w:rPr>
      <w:rFonts w:ascii="Courier New" w:hAnsi="Courier New" w:cs="Courier New"/>
    </w:rPr>
  </w:style>
  <w:style w:type="character" w:styleId="WW8Num111z3">
    <w:name w:val="WW8Num111z3"/>
    <w:qFormat/>
    <w:rPr>
      <w:rFonts w:ascii="Symbol" w:hAnsi="Symbol" w:cs="Symbol"/>
    </w:rPr>
  </w:style>
  <w:style w:type="character" w:styleId="WW8Num112z0">
    <w:name w:val="WW8Num112z0"/>
    <w:qFormat/>
    <w:rPr>
      <w:rFonts w:ascii="Wingdings" w:hAnsi="Wingdings" w:cs="Wingdings"/>
    </w:rPr>
  </w:style>
  <w:style w:type="character" w:styleId="WW8Num112z3">
    <w:name w:val="WW8Num112z3"/>
    <w:qFormat/>
    <w:rPr>
      <w:rFonts w:ascii="Symbol" w:hAnsi="Symbol" w:cs="Symbol"/>
    </w:rPr>
  </w:style>
  <w:style w:type="character" w:styleId="WW8Num112z4">
    <w:name w:val="WW8Num112z4"/>
    <w:qFormat/>
    <w:rPr>
      <w:rFonts w:ascii="Courier New" w:hAnsi="Courier New" w:cs="Courier New"/>
    </w:rPr>
  </w:style>
  <w:style w:type="character" w:styleId="WW8Num113z0">
    <w:name w:val="WW8Num113z0"/>
    <w:qFormat/>
    <w:rPr>
      <w:rFonts w:ascii="Wingdings" w:hAnsi="Wingdings" w:cs="Wingdings"/>
    </w:rPr>
  </w:style>
  <w:style w:type="character" w:styleId="WW8Num113z1">
    <w:name w:val="WW8Num113z1"/>
    <w:qFormat/>
    <w:rPr>
      <w:rFonts w:ascii="Courier New" w:hAnsi="Courier New" w:cs="Courier New"/>
    </w:rPr>
  </w:style>
  <w:style w:type="character" w:styleId="WW8Num113z3">
    <w:name w:val="WW8Num113z3"/>
    <w:qFormat/>
    <w:rPr>
      <w:rFonts w:ascii="Symbol" w:hAnsi="Symbol" w:cs="Symbol"/>
    </w:rPr>
  </w:style>
  <w:style w:type="character" w:styleId="WW8Num114z0">
    <w:name w:val="WW8Num114z0"/>
    <w:qFormat/>
    <w:rPr>
      <w:rFonts w:ascii="Wingdings" w:hAnsi="Wingdings" w:cs="Wingdings"/>
    </w:rPr>
  </w:style>
  <w:style w:type="character" w:styleId="WW8Num114z1">
    <w:name w:val="WW8Num114z1"/>
    <w:qFormat/>
    <w:rPr>
      <w:rFonts w:ascii="Courier New" w:hAnsi="Courier New" w:cs="Courier New"/>
    </w:rPr>
  </w:style>
  <w:style w:type="character" w:styleId="WW8Num114z3">
    <w:name w:val="WW8Num114z3"/>
    <w:qFormat/>
    <w:rPr>
      <w:rFonts w:ascii="Symbol" w:hAnsi="Symbol" w:cs="Symbol"/>
    </w:rPr>
  </w:style>
  <w:style w:type="character" w:styleId="WW8Num115z0">
    <w:name w:val="WW8Num115z0"/>
    <w:qFormat/>
    <w:rPr>
      <w:rFonts w:ascii="Wingdings" w:hAnsi="Wingdings" w:cs="Wingdings"/>
    </w:rPr>
  </w:style>
  <w:style w:type="character" w:styleId="WW8Num115z1">
    <w:name w:val="WW8Num115z1"/>
    <w:qFormat/>
    <w:rPr>
      <w:rFonts w:ascii="Courier New" w:hAnsi="Courier New" w:cs="Courier New"/>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style>
  <w:style w:type="character" w:styleId="WW8Num119z1">
    <w:name w:val="WW8Num119z1"/>
    <w:qFormat/>
    <w:rPr>
      <w:rFonts w:ascii="Calisto MT;Century Schoolbook" w:hAnsi="Calisto MT;Century Schoolbook" w:cs="Calisto MT;Century Schoolbook"/>
      <w:sz w:val="32"/>
    </w:rPr>
  </w:style>
  <w:style w:type="character" w:styleId="WW8Num119z2">
    <w:name w:val="WW8Num119z2"/>
    <w:qFormat/>
    <w:rPr>
      <w:rFonts w:ascii="Calisto MT;Century Schoolbook" w:hAnsi="Calisto MT;Century Schoolbook" w:cs="Calisto MT;Century Schoolbook"/>
      <w:b/>
      <w:i w:val="false"/>
      <w:sz w:val="28"/>
    </w:rPr>
  </w:style>
  <w:style w:type="character" w:styleId="WW8Num120z0">
    <w:name w:val="WW8Num120z0"/>
    <w:qFormat/>
    <w:rPr>
      <w:rFonts w:ascii="Wingdings" w:hAnsi="Wingdings" w:cs="Wingdings"/>
    </w:rPr>
  </w:style>
  <w:style w:type="character" w:styleId="WW8Num120z1">
    <w:name w:val="WW8Num120z1"/>
    <w:qFormat/>
    <w:rPr>
      <w:rFonts w:ascii="Courier New" w:hAnsi="Courier New" w:cs="Courier New"/>
    </w:rPr>
  </w:style>
  <w:style w:type="character" w:styleId="WW8Num120z3">
    <w:name w:val="WW8Num120z3"/>
    <w:qFormat/>
    <w:rPr>
      <w:rFonts w:ascii="Symbol" w:hAnsi="Symbol" w:cs="Symbol"/>
    </w:rPr>
  </w:style>
  <w:style w:type="character" w:styleId="WW8Num121z0">
    <w:name w:val="WW8Num121z0"/>
    <w:qFormat/>
    <w:rPr>
      <w:rFonts w:ascii="Wingdings" w:hAnsi="Wingdings" w:cs="Wingdings"/>
    </w:rPr>
  </w:style>
  <w:style w:type="character" w:styleId="WW8Num121z1">
    <w:name w:val="WW8Num121z1"/>
    <w:qFormat/>
    <w:rPr>
      <w:rFonts w:ascii="Courier New" w:hAnsi="Courier New" w:cs="Courier New"/>
    </w:rPr>
  </w:style>
  <w:style w:type="character" w:styleId="WW8Num121z3">
    <w:name w:val="WW8Num121z3"/>
    <w:qFormat/>
    <w:rPr>
      <w:rFonts w:ascii="Symbol" w:hAnsi="Symbol" w:cs="Symbol"/>
    </w:rPr>
  </w:style>
  <w:style w:type="character" w:styleId="WW8Num122z0">
    <w:name w:val="WW8Num122z0"/>
    <w:qFormat/>
    <w:rPr>
      <w:rFonts w:ascii="Wingdings" w:hAnsi="Wingdings" w:cs="Wingdings"/>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Wingdings" w:hAnsi="Wingdings" w:cs="Wingdings"/>
    </w:rPr>
  </w:style>
  <w:style w:type="character" w:styleId="WW8Num123z1">
    <w:name w:val="WW8Num123z1"/>
    <w:qFormat/>
    <w:rPr>
      <w:rFonts w:ascii="Courier New" w:hAnsi="Courier New" w:cs="Courier New"/>
    </w:rPr>
  </w:style>
  <w:style w:type="character" w:styleId="WW8Num123z3">
    <w:name w:val="WW8Num123z3"/>
    <w:qFormat/>
    <w:rPr>
      <w:rFonts w:ascii="Symbol" w:hAnsi="Symbol" w:cs="Symbol"/>
    </w:rPr>
  </w:style>
  <w:style w:type="character" w:styleId="WW8Num124z0">
    <w:name w:val="WW8Num124z0"/>
    <w:qFormat/>
    <w:rPr>
      <w:rFonts w:ascii="Wingdings" w:hAnsi="Wingdings" w:cs="Wingdings"/>
    </w:rPr>
  </w:style>
  <w:style w:type="character" w:styleId="WW8Num124z3">
    <w:name w:val="WW8Num124z3"/>
    <w:qFormat/>
    <w:rPr>
      <w:rFonts w:ascii="Symbol" w:hAnsi="Symbol" w:cs="Symbol"/>
    </w:rPr>
  </w:style>
  <w:style w:type="character" w:styleId="WW8Num124z4">
    <w:name w:val="WW8Num124z4"/>
    <w:qFormat/>
    <w:rPr>
      <w:rFonts w:ascii="Courier New" w:hAnsi="Courier New" w:cs="Courier New"/>
    </w:rPr>
  </w:style>
  <w:style w:type="character" w:styleId="WW8Num125z0">
    <w:name w:val="WW8Num125z0"/>
    <w:qFormat/>
    <w:rPr>
      <w:rFonts w:ascii="Wingdings" w:hAnsi="Wingdings" w:cs="Wingdings"/>
    </w:rPr>
  </w:style>
  <w:style w:type="character" w:styleId="WW8Num125z1">
    <w:name w:val="WW8Num125z1"/>
    <w:qFormat/>
    <w:rPr>
      <w:rFonts w:ascii="Courier New" w:hAnsi="Courier New" w:cs="Courier New"/>
    </w:rPr>
  </w:style>
  <w:style w:type="character" w:styleId="WW8Num125z3">
    <w:name w:val="WW8Num125z3"/>
    <w:qFormat/>
    <w:rPr>
      <w:rFonts w:ascii="Symbol" w:hAnsi="Symbol" w:cs="Symbol"/>
    </w:rPr>
  </w:style>
  <w:style w:type="character" w:styleId="WW8Num127z0">
    <w:name w:val="WW8Num127z0"/>
    <w:qFormat/>
    <w:rPr>
      <w:rFonts w:ascii="Wingdings" w:hAnsi="Wingdings" w:cs="Wingdings"/>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rFonts w:ascii="Wingdings" w:hAnsi="Wingdings" w:cs="Wingdings"/>
    </w:rPr>
  </w:style>
  <w:style w:type="character" w:styleId="WW8Num128z1">
    <w:name w:val="WW8Num128z1"/>
    <w:qFormat/>
    <w:rPr/>
  </w:style>
  <w:style w:type="character" w:styleId="WW8Num128z3">
    <w:name w:val="WW8Num128z3"/>
    <w:qFormat/>
    <w:rPr>
      <w:rFonts w:ascii="Symbol" w:hAnsi="Symbol" w:cs="Symbol"/>
    </w:rPr>
  </w:style>
  <w:style w:type="character" w:styleId="WW8Num128z4">
    <w:name w:val="WW8Num128z4"/>
    <w:qFormat/>
    <w:rPr>
      <w:rFonts w:ascii="Courier New" w:hAnsi="Courier New" w:cs="Courier New"/>
    </w:rPr>
  </w:style>
  <w:style w:type="character" w:styleId="WW8Num129z0">
    <w:name w:val="WW8Num129z0"/>
    <w:qFormat/>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2z0">
    <w:name w:val="WW8Num132z0"/>
    <w:qFormat/>
    <w:rPr>
      <w:rFonts w:ascii="Wingdings" w:hAnsi="Wingdings" w:cs="Wingdings"/>
    </w:rPr>
  </w:style>
  <w:style w:type="character" w:styleId="WW8Num132z1">
    <w:name w:val="WW8Num132z1"/>
    <w:qFormat/>
    <w:rPr>
      <w:rFonts w:ascii="Courier New" w:hAnsi="Courier New" w:cs="Courier New"/>
    </w:rPr>
  </w:style>
  <w:style w:type="character" w:styleId="WW8Num132z3">
    <w:name w:val="WW8Num132z3"/>
    <w:qFormat/>
    <w:rPr>
      <w:rFonts w:ascii="Symbol" w:hAnsi="Symbol" w:cs="Symbol"/>
    </w:rPr>
  </w:style>
  <w:style w:type="character" w:styleId="WW8Num133z0">
    <w:name w:val="WW8Num133z0"/>
    <w:qFormat/>
    <w:rPr>
      <w:rFonts w:ascii="Wingdings" w:hAnsi="Wingdings" w:cs="Wingdings"/>
    </w:rPr>
  </w:style>
  <w:style w:type="character" w:styleId="WW8Num133z1">
    <w:name w:val="WW8Num133z1"/>
    <w:qFormat/>
    <w:rPr>
      <w:rFonts w:ascii="Courier New" w:hAnsi="Courier New" w:cs="Courier New"/>
    </w:rPr>
  </w:style>
  <w:style w:type="character" w:styleId="WW8Num133z3">
    <w:name w:val="WW8Num133z3"/>
    <w:qFormat/>
    <w:rPr>
      <w:rFonts w:ascii="Symbol" w:hAnsi="Symbol" w:cs="Symbol"/>
    </w:rPr>
  </w:style>
  <w:style w:type="character" w:styleId="WW8Num134z0">
    <w:name w:val="WW8Num134z0"/>
    <w:qFormat/>
    <w:rPr>
      <w:rFonts w:ascii="Wingdings" w:hAnsi="Wingdings" w:cs="Wingdings"/>
    </w:rPr>
  </w:style>
  <w:style w:type="character" w:styleId="WW8Num134z1">
    <w:name w:val="WW8Num134z1"/>
    <w:qFormat/>
    <w:rPr>
      <w:rFonts w:ascii="Courier New" w:hAnsi="Courier New" w:cs="Courier New"/>
    </w:rPr>
  </w:style>
  <w:style w:type="character" w:styleId="WW8Num134z3">
    <w:name w:val="WW8Num134z3"/>
    <w:qFormat/>
    <w:rPr>
      <w:rFonts w:ascii="Symbol" w:hAnsi="Symbol" w:cs="Symbol"/>
    </w:rPr>
  </w:style>
  <w:style w:type="character" w:styleId="WW8Num135z0">
    <w:name w:val="WW8Num135z0"/>
    <w:qFormat/>
    <w:rPr/>
  </w:style>
  <w:style w:type="character" w:styleId="WW8Num136z0">
    <w:name w:val="WW8Num136z0"/>
    <w:qFormat/>
    <w:rPr>
      <w:rFonts w:ascii="Wingdings" w:hAnsi="Wingdings" w:cs="Wingdings"/>
    </w:rPr>
  </w:style>
  <w:style w:type="character" w:styleId="WW8Num136z1">
    <w:name w:val="WW8Num136z1"/>
    <w:qFormat/>
    <w:rPr>
      <w:rFonts w:ascii="Courier New" w:hAnsi="Courier New" w:cs="Courier New"/>
    </w:rPr>
  </w:style>
  <w:style w:type="character" w:styleId="WW8Num136z3">
    <w:name w:val="WW8Num136z3"/>
    <w:qFormat/>
    <w:rPr>
      <w:rFonts w:ascii="Symbol" w:hAnsi="Symbol" w:cs="Symbol"/>
    </w:rPr>
  </w:style>
  <w:style w:type="character" w:styleId="WW8Num137z0">
    <w:name w:val="WW8Num137z0"/>
    <w:qFormat/>
    <w:rPr>
      <w:rFonts w:ascii="Wingdings" w:hAnsi="Wingdings" w:cs="Wingdings"/>
    </w:rPr>
  </w:style>
  <w:style w:type="character" w:styleId="WW8Num137z1">
    <w:name w:val="WW8Num137z1"/>
    <w:qFormat/>
    <w:rPr>
      <w:rFonts w:ascii="Courier New" w:hAnsi="Courier New" w:cs="Courier New"/>
    </w:rPr>
  </w:style>
  <w:style w:type="character" w:styleId="WW8Num137z3">
    <w:name w:val="WW8Num137z3"/>
    <w:qFormat/>
    <w:rPr>
      <w:rFonts w:ascii="Symbol" w:hAnsi="Symbol" w:cs="Symbol"/>
    </w:rPr>
  </w:style>
  <w:style w:type="character" w:styleId="WW8Num138z0">
    <w:name w:val="WW8Num138z0"/>
    <w:qFormat/>
    <w:rPr>
      <w:rFonts w:ascii="Wingdings" w:hAnsi="Wingdings" w:cs="Wingdings"/>
    </w:rPr>
  </w:style>
  <w:style w:type="character" w:styleId="WW8Num138z1">
    <w:name w:val="WW8Num138z1"/>
    <w:qFormat/>
    <w:rPr>
      <w:rFonts w:ascii="Courier New" w:hAnsi="Courier New" w:cs="Courier New"/>
    </w:rPr>
  </w:style>
  <w:style w:type="character" w:styleId="WW8Num138z3">
    <w:name w:val="WW8Num138z3"/>
    <w:qFormat/>
    <w:rPr>
      <w:rFonts w:ascii="Symbol" w:hAnsi="Symbol" w:cs="Symbol"/>
    </w:rPr>
  </w:style>
  <w:style w:type="character" w:styleId="WW8Num139z0">
    <w:name w:val="WW8Num139z0"/>
    <w:qFormat/>
    <w:rPr>
      <w:rFonts w:ascii="Wingdings" w:hAnsi="Wingdings" w:cs="Wingdings"/>
    </w:rPr>
  </w:style>
  <w:style w:type="character" w:styleId="WW8Num139z3">
    <w:name w:val="WW8Num139z3"/>
    <w:qFormat/>
    <w:rPr>
      <w:rFonts w:ascii="Symbol" w:hAnsi="Symbol" w:cs="Symbol"/>
    </w:rPr>
  </w:style>
  <w:style w:type="character" w:styleId="WW8Num139z4">
    <w:name w:val="WW8Num139z4"/>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30"/>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31"/>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rPr/>
  </w:style>
  <w:style w:type="paragraph" w:styleId="BlockText">
    <w:name w:val="Block Text"/>
    <w:basedOn w:val="Normal"/>
    <w:qFormat/>
    <w:pPr>
      <w:tabs>
        <w:tab w:val="clear" w:pos="720"/>
        <w:tab w:val="left" w:pos="630" w:leader="none"/>
      </w:tabs>
      <w:ind w:hanging="0" w:start="630" w:end="720"/>
    </w:pPr>
    <w:rPr>
      <w:i/>
      <w:iCs/>
    </w:rPr>
  </w:style>
  <w:style w:type="paragraph" w:styleId="BodyTextIndent">
    <w:name w:val="Body Text Indent"/>
    <w:basedOn w:val="Normal"/>
    <w:pPr>
      <w:ind w:firstLine="720" w:start="0" w:end="0"/>
    </w:pPr>
    <w:rPr>
      <w:i/>
      <w:iCs/>
    </w:rPr>
  </w:style>
  <w:style w:type="paragraph" w:styleId="BodyText2">
    <w:name w:val="Body Text 2"/>
    <w:basedOn w:val="Normal"/>
    <w:qFormat/>
    <w:pPr/>
    <w:rPr>
      <w:rFonts w:ascii="Arial" w:hAnsi="Arial" w:cs="Arial"/>
      <w:color w:val="0000FF"/>
    </w:rPr>
  </w:style>
  <w:style w:type="paragraph" w:styleId="BodyText3">
    <w:name w:val="Body Text 3"/>
    <w:basedOn w:val="Normal"/>
    <w:qFormat/>
    <w:pPr/>
    <w:rPr>
      <w:b/>
      <w:bCs/>
      <w:color w:val="FF0000"/>
    </w:rPr>
  </w:style>
  <w:style w:type="paragraph" w:styleId="NormalWeb">
    <w:name w:val="Normal (Web)"/>
    <w:basedOn w:val="Normal"/>
    <w:qFormat/>
    <w:pPr>
      <w:suppressAutoHyphens w:val="false"/>
      <w:spacing w:before="100" w:after="100"/>
      <w:jc w:val="start"/>
    </w:pPr>
    <w:rPr>
      <w:rFonts w:ascii="Arial Unicode MS;Tahoma" w:hAnsi="Arial Unicode MS;Tahoma" w:eastAsia="Arial Unicode MS;Tahoma" w:cs="Arial Unicode MS;Tahoma"/>
      <w:sz w:val="24"/>
      <w:szCs w:val="24"/>
      <w:lang w:val="en-US"/>
    </w:rPr>
  </w:style>
  <w:style w:type="paragraph" w:styleId="BodyTextIndent2">
    <w:name w:val="Body Text Indent 2"/>
    <w:basedOn w:val="Normal"/>
    <w:qFormat/>
    <w:pPr>
      <w:ind w:hanging="0" w:start="720" w:end="0"/>
    </w:pPr>
    <w:rPr>
      <w:i/>
      <w:iCs/>
    </w:rPr>
  </w:style>
  <w:style w:type="paragraph" w:styleId="Head2">
    <w:name w:val="Head 2"/>
    <w:basedOn w:val="Heading5"/>
    <w:next w:val="Normal"/>
    <w:qFormat/>
    <w:pPr>
      <w:keepNext w:val="true"/>
      <w:numPr>
        <w:ilvl w:val="0"/>
        <w:numId w:val="0"/>
      </w:numPr>
      <w:suppressAutoHyphens w:val="false"/>
      <w:spacing w:before="120" w:after="120"/>
      <w:ind w:hanging="0" w:start="0" w:end="0"/>
      <w:outlineLvl w:val="9"/>
    </w:pPr>
    <w:rPr>
      <w:rFonts w:ascii="Calisto MT;Century Schoolbook" w:hAnsi="Calisto MT;Century Schoolbook" w:cs="Calisto MT;Century Schoolbook"/>
      <w:b/>
      <w:sz w:val="36"/>
      <w:lang w:val="en-GB"/>
    </w:rPr>
  </w:style>
  <w:style w:type="paragraph" w:styleId="BodyTextIndent3">
    <w:name w:val="Body Text Indent 3"/>
    <w:basedOn w:val="Normal"/>
    <w:qFormat/>
    <w:pPr>
      <w:pBdr>
        <w:top w:val="single" w:sz="4" w:space="1" w:color="000000" w:shadow="1"/>
        <w:left w:val="single" w:sz="4" w:space="4" w:color="000000" w:shadow="1"/>
        <w:bottom w:val="single" w:sz="4" w:space="1" w:color="000000" w:shadow="1"/>
        <w:right w:val="single" w:sz="4" w:space="4" w:color="000000" w:shadow="1"/>
      </w:pBdr>
      <w:ind w:hanging="54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image" Target="media/image2.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image" Target="media/image3.wmf"/><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image" Target="media/image4.wmf"/><Relationship Id="rId30" Type="http://schemas.openxmlformats.org/officeDocument/2006/relationships/image" Target="media/image4.wmf"/><Relationship Id="rId31" Type="http://schemas.openxmlformats.org/officeDocument/2006/relationships/header" Target="header12.xml"/><Relationship Id="rId32" Type="http://schemas.openxmlformats.org/officeDocument/2006/relationships/header" Target="header13.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image" Target="media/image5.wmf"/><Relationship Id="rId36" Type="http://schemas.openxmlformats.org/officeDocument/2006/relationships/image" Target="media/image5.wmf"/><Relationship Id="rId37" Type="http://schemas.openxmlformats.org/officeDocument/2006/relationships/header" Target="header14.xml"/><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footer" Target="footer18.xml"/><Relationship Id="rId44" Type="http://schemas.openxmlformats.org/officeDocument/2006/relationships/footer" Target="footer19.xml"/><Relationship Id="rId45" Type="http://schemas.openxmlformats.org/officeDocument/2006/relationships/header" Target="header18.xml"/><Relationship Id="rId46" Type="http://schemas.openxmlformats.org/officeDocument/2006/relationships/header" Target="header19.xml"/><Relationship Id="rId47" Type="http://schemas.openxmlformats.org/officeDocument/2006/relationships/footer" Target="footer20.xml"/><Relationship Id="rId48" Type="http://schemas.openxmlformats.org/officeDocument/2006/relationships/footer" Target="footer21.xml"/><Relationship Id="rId49" Type="http://schemas.openxmlformats.org/officeDocument/2006/relationships/footnotes" Target="footnotes.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2001-04-23T23:54:00Z</dcterms:created>
  <dc:creator>Sabine F. Schnittger</dc:creator>
  <dc:description/>
  <dc:language>en-CA</dc:language>
  <cp:lastModifiedBy>Seabron Adamson</cp:lastModifiedBy>
  <cp:lastPrinted>2001-04-23T18:37:00Z</cp:lastPrinted>
  <dcterms:modified xsi:type="dcterms:W3CDTF">2001-04-23T23:54:00Z</dcterms:modified>
  <cp:revision>2</cp:revision>
  <dc:subject/>
  <dc:title>California market</dc:title>
</cp:coreProperties>
</file>