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Title"/>
        <w:spacing w:before="0" w:after="240"/>
        <w:rPr>
          <w:bCs/>
          <w:sz w:val="32"/>
        </w:rPr>
      </w:pPr>
      <w:r>
        <w:rPr>
          <w:bCs/>
          <w:sz w:val="32"/>
        </w:rPr>
        <w:t>Revised outline for policy paper</w:t>
      </w:r>
    </w:p>
    <w:p>
      <w:pPr>
        <w:pStyle w:val="Normal"/>
        <w:rPr>
          <w:bCs/>
          <w:sz w:val="32"/>
        </w:rPr>
      </w:pPr>
      <w:r>
        <w:rPr>
          <w:bCs/>
          <w:sz w:val="32"/>
        </w:rPr>
      </w:r>
    </w:p>
    <w:p>
      <w:pPr>
        <w:pStyle w:val="3ParaHead"/>
        <w:spacing w:before="0" w:after="120"/>
        <w:rPr>
          <w:bCs/>
        </w:rPr>
      </w:pPr>
      <w:r>
        <w:rPr>
          <w:bCs/>
        </w:rPr>
        <w:t>Introduction</w:t>
      </w:r>
    </w:p>
    <w:p>
      <w:pPr>
        <w:pStyle w:val="NormalIndent"/>
        <w:numPr>
          <w:ilvl w:val="0"/>
          <w:numId w:val="3"/>
        </w:numPr>
        <w:spacing w:before="0" w:after="120"/>
        <w:rPr/>
      </w:pPr>
      <w:r>
        <w:rPr/>
        <w:t>Market/RTO objectives</w:t>
      </w:r>
    </w:p>
    <w:p>
      <w:pPr>
        <w:pStyle w:val="NormalIndent"/>
        <w:numPr>
          <w:ilvl w:val="0"/>
          <w:numId w:val="3"/>
        </w:numPr>
        <w:spacing w:before="0" w:after="120"/>
        <w:rPr/>
      </w:pPr>
      <w:r>
        <w:rPr/>
        <w:t>Will current RTO processes meet these objectives? (No)</w:t>
      </w:r>
    </w:p>
    <w:p>
      <w:pPr>
        <w:pStyle w:val="Normal"/>
        <w:numPr>
          <w:ilvl w:val="0"/>
          <w:numId w:val="3"/>
        </w:numPr>
        <w:spacing w:before="0" w:after="120"/>
        <w:rPr/>
      </w:pPr>
      <w:r>
        <w:rPr/>
        <w:t>What can be done by FERC quickly to get electric restructuring back on track?</w:t>
      </w:r>
    </w:p>
    <w:p>
      <w:pPr>
        <w:pStyle w:val="4SubPara"/>
        <w:spacing w:before="0" w:after="120"/>
        <w:rPr>
          <w:bCs/>
          <w:sz w:val="28"/>
        </w:rPr>
      </w:pPr>
      <w:r>
        <w:rPr>
          <w:bCs/>
          <w:sz w:val="28"/>
        </w:rPr>
        <w:t>Market functions</w:t>
      </w:r>
    </w:p>
    <w:p>
      <w:pPr>
        <w:pStyle w:val="Normal"/>
        <w:numPr>
          <w:ilvl w:val="0"/>
          <w:numId w:val="5"/>
        </w:numPr>
        <w:spacing w:before="0" w:after="120"/>
        <w:rPr>
          <w:b/>
          <w:bCs/>
        </w:rPr>
      </w:pPr>
      <w:r>
        <w:rPr>
          <w:b/>
          <w:bCs/>
        </w:rPr>
        <w:t>Dispatch – the real-time market</w:t>
      </w:r>
    </w:p>
    <w:p>
      <w:pPr>
        <w:pStyle w:val="Normal"/>
        <w:numPr>
          <w:ilvl w:val="1"/>
          <w:numId w:val="5"/>
        </w:numPr>
        <w:spacing w:before="0" w:after="120"/>
        <w:rPr>
          <w:b/>
          <w:bCs/>
        </w:rPr>
      </w:pPr>
      <w:r>
        <w:rPr/>
        <w:t>Why have a real-time energy market? (Critical to get correct incentives for operations and liquidity needed to unwind forward positions.</w:t>
      </w:r>
    </w:p>
    <w:p>
      <w:pPr>
        <w:pStyle w:val="Normal"/>
        <w:numPr>
          <w:ilvl w:val="1"/>
          <w:numId w:val="5"/>
        </w:numPr>
        <w:spacing w:before="0" w:after="120"/>
        <w:rPr>
          <w:b/>
          <w:bCs/>
        </w:rPr>
      </w:pPr>
      <w:r>
        <w:rPr/>
        <w:t>Why have clearing LMP structure in real-time?</w:t>
      </w:r>
    </w:p>
    <w:p>
      <w:pPr>
        <w:pStyle w:val="Normal"/>
        <w:numPr>
          <w:ilvl w:val="0"/>
          <w:numId w:val="5"/>
        </w:numPr>
        <w:spacing w:before="0" w:after="120"/>
        <w:rPr>
          <w:b/>
          <w:bCs/>
        </w:rPr>
      </w:pPr>
      <w:r>
        <w:rPr>
          <w:b/>
          <w:bCs/>
        </w:rPr>
        <w:t>Commitment – the day ahead market</w:t>
      </w:r>
    </w:p>
    <w:p>
      <w:pPr>
        <w:pStyle w:val="Normal"/>
        <w:numPr>
          <w:ilvl w:val="1"/>
          <w:numId w:val="5"/>
        </w:numPr>
        <w:spacing w:before="0" w:after="120"/>
        <w:rPr>
          <w:b/>
          <w:bCs/>
        </w:rPr>
      </w:pPr>
      <w:r>
        <w:rPr/>
        <w:t>Brief overview of commitment decisions and costs</w:t>
      </w:r>
    </w:p>
    <w:p>
      <w:pPr>
        <w:pStyle w:val="Normal"/>
        <w:numPr>
          <w:ilvl w:val="1"/>
          <w:numId w:val="5"/>
        </w:numPr>
        <w:spacing w:before="0" w:after="120"/>
        <w:rPr>
          <w:b/>
          <w:bCs/>
        </w:rPr>
      </w:pPr>
      <w:r>
        <w:rPr/>
        <w:t>Need for RTO to include transmission constraints in developing the day ahead schedule</w:t>
      </w:r>
    </w:p>
    <w:p>
      <w:pPr>
        <w:pStyle w:val="Normal"/>
        <w:numPr>
          <w:ilvl w:val="1"/>
          <w:numId w:val="5"/>
        </w:numPr>
        <w:spacing w:before="0" w:after="120"/>
        <w:rPr>
          <w:b/>
          <w:bCs/>
        </w:rPr>
      </w:pPr>
      <w:r>
        <w:rPr/>
        <w:t>Brief overview of options for incorporating transmission constraints in unit commitment and scheduling – centralization (e.g. LMP) versus property rights trading (flow rights)</w:t>
      </w:r>
    </w:p>
    <w:p>
      <w:pPr>
        <w:pStyle w:val="Normal"/>
        <w:numPr>
          <w:ilvl w:val="1"/>
          <w:numId w:val="5"/>
        </w:numPr>
        <w:spacing w:before="0" w:after="120"/>
        <w:rPr>
          <w:b/>
          <w:bCs/>
        </w:rPr>
      </w:pPr>
      <w:r>
        <w:rPr/>
        <w:t>Should plant start costs, etc. be included in the optimization? (No)</w:t>
      </w:r>
    </w:p>
    <w:p>
      <w:pPr>
        <w:pStyle w:val="Normal"/>
        <w:numPr>
          <w:ilvl w:val="1"/>
          <w:numId w:val="5"/>
        </w:numPr>
        <w:spacing w:before="0" w:after="120"/>
        <w:rPr>
          <w:b/>
          <w:bCs/>
        </w:rPr>
      </w:pPr>
      <w:r>
        <w:rPr/>
        <w:t>Relationship between day ahead and real-time markets</w:t>
      </w:r>
    </w:p>
    <w:p>
      <w:pPr>
        <w:pStyle w:val="Normal"/>
        <w:numPr>
          <w:ilvl w:val="0"/>
          <w:numId w:val="5"/>
        </w:numPr>
        <w:spacing w:before="0" w:after="120"/>
        <w:rPr>
          <w:b/>
          <w:bCs/>
        </w:rPr>
      </w:pPr>
      <w:r>
        <w:rPr>
          <w:b/>
          <w:bCs/>
        </w:rPr>
        <w:t>Forwards trading</w:t>
      </w:r>
    </w:p>
    <w:p>
      <w:pPr>
        <w:pStyle w:val="Normal"/>
        <w:numPr>
          <w:ilvl w:val="1"/>
          <w:numId w:val="5"/>
        </w:numPr>
        <w:spacing w:before="0" w:after="120"/>
        <w:rPr/>
      </w:pPr>
      <w:r>
        <w:rPr/>
        <w:t>RTO need have no/minimal role in forward trading</w:t>
      </w:r>
    </w:p>
    <w:p>
      <w:pPr>
        <w:pStyle w:val="Normal"/>
        <w:numPr>
          <w:ilvl w:val="1"/>
          <w:numId w:val="5"/>
        </w:numPr>
        <w:spacing w:before="0" w:after="120"/>
        <w:rPr/>
      </w:pPr>
      <w:r>
        <w:rPr/>
        <w:t>How should transmission rights be defined and allocated?</w:t>
      </w:r>
    </w:p>
    <w:p>
      <w:pPr>
        <w:pStyle w:val="Normal"/>
        <w:numPr>
          <w:ilvl w:val="1"/>
          <w:numId w:val="5"/>
        </w:numPr>
        <w:spacing w:before="0" w:after="120"/>
        <w:rPr/>
      </w:pPr>
      <w:r>
        <w:rPr/>
        <w:t>Failures of existing FTR and allocation mechanisms</w:t>
      </w:r>
    </w:p>
    <w:p>
      <w:pPr>
        <w:pStyle w:val="NormalIndent"/>
        <w:spacing w:before="0" w:after="120"/>
        <w:ind w:start="0" w:end="0"/>
        <w:rPr>
          <w:b/>
          <w:bCs/>
          <w:sz w:val="28"/>
        </w:rPr>
      </w:pPr>
      <w:r>
        <w:rPr>
          <w:b/>
          <w:bCs/>
          <w:sz w:val="28"/>
        </w:rPr>
        <w:t>An interim model for RTOs</w:t>
      </w:r>
    </w:p>
    <w:p>
      <w:pPr>
        <w:pStyle w:val="NormalIndent"/>
        <w:numPr>
          <w:ilvl w:val="0"/>
          <w:numId w:val="5"/>
        </w:numPr>
        <w:spacing w:before="0" w:after="120"/>
        <w:rPr>
          <w:b/>
          <w:bCs/>
        </w:rPr>
      </w:pPr>
      <w:r>
        <w:rPr>
          <w:b/>
          <w:bCs/>
        </w:rPr>
        <w:t>Overview of proposed RTO interim model – “PJM light”</w:t>
      </w:r>
    </w:p>
    <w:p>
      <w:pPr>
        <w:pStyle w:val="NormalIndent"/>
        <w:numPr>
          <w:ilvl w:val="1"/>
          <w:numId w:val="5"/>
        </w:numPr>
        <w:spacing w:before="0" w:after="120"/>
        <w:rPr/>
      </w:pPr>
      <w:r>
        <w:rPr/>
        <w:t>Clearing LMP real-time energy market</w:t>
      </w:r>
    </w:p>
    <w:p>
      <w:pPr>
        <w:pStyle w:val="NormalIndent"/>
        <w:numPr>
          <w:ilvl w:val="1"/>
          <w:numId w:val="5"/>
        </w:numPr>
        <w:spacing w:before="0" w:after="120"/>
        <w:rPr/>
      </w:pPr>
      <w:r>
        <w:rPr/>
        <w:t>Centralized unit commitment using energy only bids</w:t>
      </w:r>
    </w:p>
    <w:p>
      <w:pPr>
        <w:pStyle w:val="NormalIndent"/>
        <w:numPr>
          <w:ilvl w:val="1"/>
          <w:numId w:val="5"/>
        </w:numPr>
        <w:spacing w:before="0" w:after="120"/>
        <w:rPr/>
      </w:pPr>
      <w:r>
        <w:rPr/>
        <w:t>No bid start or no load costs</w:t>
      </w:r>
    </w:p>
    <w:p>
      <w:pPr>
        <w:pStyle w:val="NormalIndent"/>
        <w:numPr>
          <w:ilvl w:val="1"/>
          <w:numId w:val="5"/>
        </w:numPr>
        <w:spacing w:before="0" w:after="120"/>
        <w:rPr/>
      </w:pPr>
      <w:r>
        <w:rPr/>
        <w:t>Financial transmission rights trading</w:t>
      </w:r>
    </w:p>
    <w:p>
      <w:pPr>
        <w:pStyle w:val="NormalIndent"/>
        <w:numPr>
          <w:ilvl w:val="1"/>
          <w:numId w:val="5"/>
        </w:numPr>
        <w:spacing w:before="0" w:after="120"/>
        <w:rPr/>
      </w:pPr>
      <w:r>
        <w:rPr/>
        <w:t>Centralized ancillary services procurement?</w:t>
      </w:r>
    </w:p>
    <w:p>
      <w:pPr>
        <w:pStyle w:val="NormalIndent"/>
        <w:numPr>
          <w:ilvl w:val="0"/>
          <w:numId w:val="5"/>
        </w:numPr>
        <w:spacing w:before="0" w:after="120"/>
        <w:rPr>
          <w:b/>
          <w:bCs/>
        </w:rPr>
      </w:pPr>
      <w:r>
        <w:rPr>
          <w:b/>
          <w:bCs/>
        </w:rPr>
        <w:t>Advantages of the proposed interim model over current RTO designs</w:t>
      </w:r>
    </w:p>
    <w:p>
      <w:pPr>
        <w:pStyle w:val="NormalIndent"/>
        <w:numPr>
          <w:ilvl w:val="1"/>
          <w:numId w:val="5"/>
        </w:numPr>
        <w:spacing w:before="0" w:after="120"/>
        <w:rPr/>
      </w:pPr>
      <w:r>
        <w:rPr/>
        <w:t>Simplicity and speed/ease of implementation</w:t>
      </w:r>
    </w:p>
    <w:p>
      <w:pPr>
        <w:pStyle w:val="NormalIndent"/>
        <w:numPr>
          <w:ilvl w:val="1"/>
          <w:numId w:val="5"/>
        </w:numPr>
        <w:spacing w:before="0" w:after="120"/>
        <w:rPr/>
      </w:pPr>
      <w:r>
        <w:rPr/>
        <w:t>Liquidity for forward trading</w:t>
      </w:r>
    </w:p>
    <w:p>
      <w:pPr>
        <w:pStyle w:val="NormalIndent"/>
        <w:numPr>
          <w:ilvl w:val="1"/>
          <w:numId w:val="5"/>
        </w:numPr>
        <w:spacing w:before="0" w:after="120"/>
        <w:rPr/>
      </w:pPr>
      <w:r>
        <w:rPr/>
        <w:t>Baseline model for future development</w:t>
      </w:r>
    </w:p>
    <w:p>
      <w:pPr>
        <w:pStyle w:val="NormalIndent"/>
        <w:numPr>
          <w:ilvl w:val="0"/>
          <w:numId w:val="5"/>
        </w:numPr>
        <w:spacing w:before="0" w:after="120"/>
        <w:rPr>
          <w:b/>
          <w:bCs/>
        </w:rPr>
      </w:pPr>
      <w:r>
        <w:rPr>
          <w:b/>
          <w:bCs/>
        </w:rPr>
        <w:t>Tradeoffs inherent in adopting a market design</w:t>
      </w:r>
    </w:p>
    <w:p>
      <w:pPr>
        <w:pStyle w:val="NormalIndent"/>
        <w:numPr>
          <w:ilvl w:val="0"/>
          <w:numId w:val="5"/>
        </w:numPr>
        <w:spacing w:before="0" w:after="120"/>
        <w:rPr>
          <w:b/>
          <w:bCs/>
        </w:rPr>
      </w:pPr>
      <w:r>
        <w:rPr>
          <w:b/>
          <w:bCs/>
        </w:rPr>
        <w:t>Sunset provisions for evaluation and re-design</w:t>
      </w:r>
    </w:p>
    <w:p>
      <w:pPr>
        <w:pStyle w:val="NormalIndent"/>
        <w:spacing w:before="0" w:after="120"/>
        <w:ind w:start="0" w:end="0"/>
        <w:rPr>
          <w:b/>
          <w:bCs/>
          <w:sz w:val="28"/>
        </w:rPr>
      </w:pPr>
      <w:r>
        <w:rPr>
          <w:b/>
          <w:bCs/>
          <w:sz w:val="28"/>
        </w:rPr>
        <w:t>Potential future evolution of the interim RTO model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Decentralized unit commitment process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Flow right trading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Transmission exchanges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Full ancillary services markets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Continuous price discovery</w:t>
      </w:r>
    </w:p>
    <w:p>
      <w:pPr>
        <w:pStyle w:val="3ParaHead"/>
        <w:spacing w:before="0" w:after="120"/>
        <w:rPr>
          <w:bCs/>
        </w:rPr>
      </w:pPr>
      <w:r>
        <w:rPr>
          <w:bCs/>
        </w:rPr>
        <w:t>Priorities for FERC – “the 100 days”</w:t>
      </w:r>
    </w:p>
    <w:p>
      <w:pPr>
        <w:pStyle w:val="Normal"/>
        <w:numPr>
          <w:ilvl w:val="0"/>
          <w:numId w:val="2"/>
        </w:numPr>
        <w:spacing w:before="0" w:after="120"/>
        <w:rPr/>
      </w:pPr>
      <w:r>
        <w:rPr>
          <w:b/>
          <w:bCs/>
        </w:rPr>
        <w:t>Getting workable RTOs established quickly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Use a simple and consistent model across the country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Can evolve as necessary to meet local requirements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RTO areas must cover true electrical markets – e.g. the entire Midwest (MAIN and ECAR). No “balkanization” of markets</w:t>
      </w:r>
    </w:p>
    <w:p>
      <w:pPr>
        <w:pStyle w:val="Normal"/>
        <w:numPr>
          <w:ilvl w:val="0"/>
          <w:numId w:val="2"/>
        </w:numPr>
        <w:spacing w:before="0" w:after="120"/>
        <w:rPr>
          <w:b/>
          <w:bCs/>
        </w:rPr>
      </w:pPr>
      <w:r>
        <w:rPr>
          <w:b/>
          <w:bCs/>
        </w:rPr>
        <w:t>Address market power issues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Divestiture of generation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Approval of market-based rates for undivested utility generation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Need new tools rather than HHI measures</w:t>
      </w:r>
    </w:p>
    <w:p>
      <w:pPr>
        <w:pStyle w:val="Normal"/>
        <w:numPr>
          <w:ilvl w:val="0"/>
          <w:numId w:val="2"/>
        </w:numPr>
        <w:spacing w:before="0" w:after="120"/>
        <w:rPr/>
      </w:pPr>
      <w:r>
        <w:rPr>
          <w:b/>
          <w:bCs/>
        </w:rPr>
        <w:t>Retail and forwards contracting issues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Do not approve market-based rates without a workable transition to full retail competition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Remaining default customers served by forward contract portfolios and not pass-through of spot prices – critical to have forward looking prices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Need metering and price responsive load from Day One on larger customers</w:t>
      </w:r>
    </w:p>
    <w:p>
      <w:pPr>
        <w:pStyle w:val="Normal"/>
        <w:numPr>
          <w:ilvl w:val="0"/>
          <w:numId w:val="2"/>
        </w:numPr>
        <w:spacing w:before="0" w:after="120"/>
        <w:rPr>
          <w:b/>
          <w:bCs/>
        </w:rPr>
      </w:pPr>
      <w:r>
        <w:rPr>
          <w:b/>
          <w:bCs/>
        </w:rPr>
        <w:t>New supply issues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FERC must emphasize connection charge and timing issues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/>
        <w:t>All connection decisions removed from transmission owners</w:t>
      </w:r>
    </w:p>
    <w:p>
      <w:pPr>
        <w:pStyle w:val="NormalIndent"/>
        <w:spacing w:before="0" w:after="120"/>
        <w:ind w:start="0" w:end="0"/>
        <w:rPr>
          <w:b/>
          <w:bCs/>
          <w:sz w:val="28"/>
        </w:rPr>
      </w:pPr>
      <w:r>
        <w:rPr>
          <w:b/>
          <w:bCs/>
          <w:sz w:val="28"/>
        </w:rPr>
        <w:t>Conclusions</w:t>
      </w:r>
    </w:p>
    <w:p>
      <w:pPr>
        <w:pStyle w:val="4SubPara"/>
        <w:spacing w:before="0" w:after="240"/>
        <w:rPr>
          <w:b w:val="false"/>
          <w:bCs/>
          <w:sz w:val="28"/>
        </w:rPr>
      </w:pPr>
      <w:r>
        <w:rPr>
          <w:b w:val="false"/>
          <w:bCs/>
          <w:sz w:val="28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Private and Confidential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1080"/>
        </w:tabs>
        <w:ind w:start="720" w:hanging="720"/>
      </w:pPr>
    </w:lvl>
    <w:lvl w:ilvl="2">
      <w:start w:val="1"/>
      <w:pStyle w:val="Heading3"/>
      <w:numFmt w:val="decimal"/>
      <w:lvlText w:val="%1.%2.%3"/>
      <w:lvlJc w:val="start"/>
      <w:pPr>
        <w:tabs>
          <w:tab w:val="num" w:pos="1080"/>
        </w:tabs>
        <w:ind w:start="1080" w:hanging="1080"/>
      </w:pPr>
    </w:lvl>
    <w:lvl w:ilvl="3">
      <w:start w:val="1"/>
      <w:pStyle w:val="Heading4"/>
      <w:numFmt w:val="decimal"/>
      <w:lvlText w:val="%1.%2.%3.%4"/>
      <w:lvlJc w:val="start"/>
      <w:pPr>
        <w:tabs>
          <w:tab w:val="num" w:pos="1800"/>
        </w:tabs>
        <w:ind w:start="720" w:hanging="720"/>
      </w:pPr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240"/>
      <w:jc w:val="both"/>
    </w:pPr>
    <w:rPr>
      <w:rFonts w:ascii="Book Antiqua" w:hAnsi="Book Antiqua" w:eastAsia="Times New Roman" w:cs="Book Antiqua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spacing w:before="120" w:after="240"/>
      <w:outlineLvl w:val="0"/>
    </w:pPr>
    <w:rPr>
      <w:rFonts w:ascii="Book Antiqua" w:hAnsi="Book Antiqua" w:cs="Book Antiqua"/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240"/>
      <w:outlineLvl w:val="1"/>
    </w:pPr>
    <w:rPr>
      <w:rFonts w:ascii="Book Antiqua" w:hAnsi="Book Antiqua" w:cs="Book Antiqua"/>
      <w:b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240"/>
      <w:outlineLvl w:val="2"/>
    </w:pPr>
    <w:rPr>
      <w:rFonts w:ascii="Book Antiqua" w:hAnsi="Book Antiqua" w:cs="Book Antiqua"/>
      <w:b/>
      <w:sz w:val="22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864" w:leader="none"/>
      </w:tabs>
      <w:spacing w:before="240" w:after="120"/>
      <w:outlineLvl w:val="3"/>
    </w:pPr>
    <w:rPr>
      <w:rFonts w:ascii="Book Antiqua" w:hAnsi="Book Antiqua" w:cs="Book Antiqua"/>
      <w:b/>
      <w:sz w:val="22"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Book Antiqua" w:hAnsi="Book Antiqua" w:cs="Book Antiqua"/>
      <w:sz w:val="22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Book Antiqua" w:hAnsi="Book Antiqua" w:cs="Book Antiqua"/>
      <w:sz w:val="22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Book Antiqua" w:hAnsi="Book Antiqua" w:cs="Book Antiqua"/>
      <w:sz w:val="22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rFonts w:ascii="Book Antiqua" w:hAnsi="Book Antiqua" w:cs="Book Antiqua"/>
      <w:sz w:val="22"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ascii="Book Antiqua" w:hAnsi="Book Antiqua" w:cs="Book Antiqua"/>
      <w:sz w:val="22"/>
      <w:lang w:val="en-US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6z0">
    <w:name w:val="WW8Num16z0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rFonts w:ascii="Book Antiqua" w:hAnsi="Book Antiqua" w:cs="Book Antiqua"/>
      <w:vertAlign w:val="superscript"/>
    </w:rPr>
  </w:style>
  <w:style w:type="character" w:styleId="Large">
    <w:name w:val="Large"/>
    <w:basedOn w:val="DefaultParagraphFont"/>
    <w:qFormat/>
    <w:rPr>
      <w:sz w:val="32"/>
    </w:rPr>
  </w:style>
  <w:style w:type="character" w:styleId="Small">
    <w:name w:val="Small"/>
    <w:basedOn w:val="DefaultParagraphFont"/>
    <w:qFormat/>
    <w:rPr>
      <w:sz w:val="20"/>
    </w:rPr>
  </w:style>
  <w:style w:type="character" w:styleId="Verylarge">
    <w:name w:val="Very large"/>
    <w:basedOn w:val="DefaultParagraphFont"/>
    <w:qFormat/>
    <w:rPr>
      <w:sz w:val="36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uppressAutoHyphens w:val="true"/>
      <w:spacing w:before="0" w:after="120"/>
    </w:pPr>
    <w:rPr>
      <w:rFonts w:ascii="Book Antiqua" w:hAnsi="Book Antiqua" w:cs="Book Antiqua"/>
      <w:sz w:val="22"/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720"/>
        <w:tab w:val="center" w:pos="4320" w:leader="none"/>
        <w:tab w:val="right" w:pos="8640" w:leader="none"/>
      </w:tabs>
      <w:suppressAutoHyphens w:val="true"/>
      <w:spacing w:before="120" w:after="240"/>
    </w:pPr>
    <w:rPr>
      <w:rFonts w:ascii="Book Antiqua" w:hAnsi="Book Antiqua" w:cs="Book Antiqua"/>
      <w:b/>
      <w:spacing w:val="-2"/>
      <w:sz w:val="22"/>
      <w:lang w:val="en-US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SectionHead">
    <w:name w:val="1SectionHead"/>
    <w:basedOn w:val="Normal"/>
    <w:next w:val="Normal"/>
    <w:qFormat/>
    <w:pPr>
      <w:suppressAutoHyphens w:val="true"/>
      <w:spacing w:before="360" w:after="240"/>
    </w:pPr>
    <w:rPr>
      <w:rFonts w:ascii="Book Antiqua" w:hAnsi="Book Antiqua" w:cs="Book Antiqua"/>
      <w:b/>
      <w:sz w:val="36"/>
      <w:lang w:val="en-US"/>
    </w:rPr>
  </w:style>
  <w:style w:type="paragraph" w:styleId="2SubSectionHead">
    <w:name w:val="2SubSectionHead"/>
    <w:basedOn w:val="Normal"/>
    <w:next w:val="Normal"/>
    <w:qFormat/>
    <w:pPr>
      <w:suppressAutoHyphens w:val="true"/>
      <w:spacing w:before="240" w:after="240"/>
    </w:pPr>
    <w:rPr>
      <w:rFonts w:ascii="Book Antiqua" w:hAnsi="Book Antiqua" w:cs="Book Antiqua"/>
      <w:b/>
      <w:sz w:val="32"/>
      <w:lang w:val="en-US"/>
    </w:rPr>
  </w:style>
  <w:style w:type="paragraph" w:styleId="3ParaHead">
    <w:name w:val="3ParaHead"/>
    <w:basedOn w:val="Normal"/>
    <w:next w:val="Normal"/>
    <w:qFormat/>
    <w:pPr>
      <w:suppressAutoHyphens w:val="true"/>
      <w:spacing w:before="120" w:after="240"/>
    </w:pPr>
    <w:rPr>
      <w:rFonts w:ascii="Book Antiqua" w:hAnsi="Book Antiqua" w:cs="Book Antiqua"/>
      <w:b/>
      <w:sz w:val="28"/>
      <w:lang w:val="en-US"/>
    </w:rPr>
  </w:style>
  <w:style w:type="paragraph" w:styleId="4SubPara">
    <w:name w:val="4SubPara"/>
    <w:basedOn w:val="Normal"/>
    <w:next w:val="Normal"/>
    <w:qFormat/>
    <w:pPr>
      <w:suppressAutoHyphens w:val="true"/>
      <w:spacing w:before="120" w:after="240"/>
    </w:pPr>
    <w:rPr>
      <w:rFonts w:ascii="Book Antiqua" w:hAnsi="Book Antiqua" w:cs="Book Antiqua"/>
      <w:b/>
      <w:sz w:val="22"/>
      <w:lang w:val="en-US"/>
    </w:rPr>
  </w:style>
  <w:style w:type="paragraph" w:styleId="FootnoteText">
    <w:name w:val="footnote text"/>
    <w:basedOn w:val="Normal"/>
    <w:pPr>
      <w:suppressAutoHyphens w:val="true"/>
      <w:ind w:hanging="720" w:start="720" w:end="0"/>
    </w:pPr>
    <w:rPr>
      <w:rFonts w:ascii="Book Antiqua" w:hAnsi="Book Antiqua" w:cs="Book Antiqua"/>
      <w:sz w:val="18"/>
      <w:lang w:val="en-US"/>
    </w:rPr>
  </w:style>
  <w:style w:type="paragraph" w:styleId="Coverpage">
    <w:name w:val="Cover page"/>
    <w:basedOn w:val="Normal"/>
    <w:qFormat/>
    <w:pPr>
      <w:suppressAutoHyphens w:val="true"/>
      <w:spacing w:before="9360" w:after="240"/>
      <w:ind w:hanging="0" w:start="1440" w:end="1440"/>
      <w:jc w:val="center"/>
    </w:pPr>
    <w:rPr>
      <w:rFonts w:ascii="Book Antiqua" w:hAnsi="Book Antiqua" w:cs="Book Antiqua"/>
      <w:b/>
      <w:sz w:val="36"/>
      <w:lang w:val="en-US"/>
    </w:rPr>
  </w:style>
  <w:style w:type="paragraph" w:styleId="ListBullet">
    <w:name w:val="List Bullet"/>
    <w:basedOn w:val="Normal"/>
    <w:qFormat/>
    <w:pPr>
      <w:numPr>
        <w:ilvl w:val="0"/>
        <w:numId w:val="6"/>
      </w:numPr>
      <w:tabs>
        <w:tab w:val="left" w:pos="720" w:leader="none"/>
      </w:tabs>
      <w:suppressAutoHyphens w:val="true"/>
      <w:ind w:hanging="720" w:start="1440" w:end="0"/>
    </w:pPr>
    <w:rPr>
      <w:rFonts w:ascii="Book Antiqua" w:hAnsi="Book Antiqua" w:cs="Book Antiqua"/>
      <w:sz w:val="22"/>
      <w:lang w:val="en-US"/>
    </w:rPr>
  </w:style>
  <w:style w:type="paragraph" w:styleId="ListBullet2">
    <w:name w:val="List Bullet 2"/>
    <w:basedOn w:val="Normal"/>
    <w:qFormat/>
    <w:pPr>
      <w:numPr>
        <w:ilvl w:val="0"/>
        <w:numId w:val="7"/>
      </w:numPr>
      <w:tabs>
        <w:tab w:val="left" w:pos="720" w:leader="none"/>
        <w:tab w:val="left" w:pos="2160" w:leader="none"/>
      </w:tabs>
      <w:suppressAutoHyphens w:val="true"/>
      <w:ind w:hanging="720" w:start="2160" w:end="0"/>
    </w:pPr>
    <w:rPr>
      <w:rFonts w:ascii="Book Antiqua" w:hAnsi="Book Antiqua" w:cs="Book Antiqua"/>
      <w:sz w:val="22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uppressAutoHyphens w:val="true"/>
      <w:spacing w:before="0" w:after="0"/>
    </w:pPr>
    <w:rPr>
      <w:rFonts w:ascii="Book Antiqua" w:hAnsi="Book Antiqua" w:cs="Book Antiqua"/>
      <w:sz w:val="18"/>
      <w:lang w:val="en-US"/>
    </w:rPr>
  </w:style>
  <w:style w:type="paragraph" w:styleId="FaxNormal">
    <w:name w:val="FaxNormal"/>
    <w:basedOn w:val="Normal"/>
    <w:qFormat/>
    <w:pPr>
      <w:suppressAutoHyphens w:val="true"/>
      <w:spacing w:before="0" w:after="0"/>
    </w:pPr>
    <w:rPr>
      <w:rFonts w:ascii="Book Antiqua" w:hAnsi="Book Antiqua" w:cs="Book Antiqua"/>
      <w:sz w:val="22"/>
      <w:lang w:val="en-US"/>
    </w:rPr>
  </w:style>
  <w:style w:type="paragraph" w:styleId="Address">
    <w:name w:val="Address"/>
    <w:basedOn w:val="Normal"/>
    <w:qFormat/>
    <w:pPr>
      <w:suppressAutoHyphens w:val="true"/>
      <w:spacing w:before="0" w:after="0"/>
    </w:pPr>
    <w:rPr>
      <w:rFonts w:ascii="Book Antiqua" w:hAnsi="Book Antiqua" w:cs="Book Antiqua"/>
      <w:spacing w:val="-3"/>
      <w:sz w:val="22"/>
      <w:lang w:val="en-US"/>
    </w:rPr>
  </w:style>
  <w:style w:type="paragraph" w:styleId="TOC1">
    <w:name w:val="toc 1"/>
    <w:basedOn w:val="Normal"/>
    <w:next w:val="Normal"/>
    <w:pPr>
      <w:tabs>
        <w:tab w:val="clear" w:pos="720"/>
        <w:tab w:val="right" w:pos="7589" w:leader="dot"/>
      </w:tabs>
      <w:spacing w:before="360" w:after="120"/>
      <w:ind w:hanging="720" w:start="720" w:end="0"/>
    </w:pPr>
    <w:rPr>
      <w:b/>
      <w:sz w:val="24"/>
    </w:rPr>
  </w:style>
  <w:style w:type="paragraph" w:styleId="TOC2">
    <w:name w:val="toc 2"/>
    <w:basedOn w:val="Normal"/>
    <w:next w:val="Normal"/>
    <w:pPr>
      <w:tabs>
        <w:tab w:val="clear" w:pos="720"/>
        <w:tab w:val="right" w:pos="7589" w:leader="dot"/>
      </w:tabs>
      <w:ind w:hanging="720" w:start="936" w:end="0"/>
    </w:pPr>
    <w:rPr/>
  </w:style>
  <w:style w:type="paragraph" w:styleId="Computertext">
    <w:name w:val="Computer text"/>
    <w:basedOn w:val="Normal"/>
    <w:qFormat/>
    <w:pPr>
      <w:suppressAutoHyphens w:val="true"/>
      <w:spacing w:before="0" w:after="0"/>
    </w:pPr>
    <w:rPr>
      <w:rFonts w:ascii="Courier New" w:hAnsi="Courier New" w:cs="Courier New"/>
      <w:sz w:val="22"/>
      <w:lang w:val="en-US"/>
    </w:rPr>
  </w:style>
  <w:style w:type="paragraph" w:styleId="Computer">
    <w:name w:val="Computer"/>
    <w:basedOn w:val="Normal"/>
    <w:qFormat/>
    <w:pPr>
      <w:suppressAutoHyphens w:val="true"/>
      <w:spacing w:before="0" w:after="0"/>
      <w:ind w:hanging="0" w:start="720" w:end="0"/>
      <w:jc w:val="start"/>
    </w:pPr>
    <w:rPr>
      <w:rFonts w:ascii="Courier New" w:hAnsi="Courier New" w:cs="Courier New"/>
      <w:sz w:val="16"/>
      <w:lang w:val="en-US"/>
    </w:rPr>
  </w:style>
  <w:style w:type="paragraph" w:styleId="TOC3">
    <w:name w:val="toc 3"/>
    <w:basedOn w:val="Normal"/>
    <w:next w:val="Normal"/>
    <w:pPr/>
    <w:rPr/>
  </w:style>
  <w:style w:type="paragraph" w:styleId="TableofFigures">
    <w:name w:val="Table of Figures"/>
    <w:basedOn w:val="Normal"/>
    <w:next w:val="Normal"/>
    <w:qFormat/>
    <w:pPr>
      <w:tabs>
        <w:tab w:val="clear" w:pos="720"/>
        <w:tab w:val="left" w:pos="1440" w:leader="none"/>
        <w:tab w:val="right" w:pos="8666" w:leader="dot"/>
      </w:tabs>
      <w:ind w:hanging="1440" w:start="1440" w:end="720"/>
    </w:pPr>
    <w:rPr/>
  </w:style>
  <w:style w:type="paragraph" w:styleId="TOC4">
    <w:name w:val="toc 4"/>
    <w:basedOn w:val="Normal"/>
    <w:next w:val="Normal"/>
    <w:pPr/>
    <w:rPr/>
  </w:style>
  <w:style w:type="paragraph" w:styleId="3SubPara">
    <w:name w:val="3SubPara"/>
    <w:basedOn w:val="Normal"/>
    <w:next w:val="Normal"/>
    <w:qFormat/>
    <w:pPr>
      <w:suppressAutoHyphens w:val="true"/>
      <w:spacing w:before="120" w:after="240"/>
    </w:pPr>
    <w:rPr>
      <w:rFonts w:ascii="Book Antiqua" w:hAnsi="Book Antiqua" w:cs="Book Antiqua"/>
      <w:b/>
      <w:sz w:val="28"/>
      <w:lang w:val="en-US"/>
    </w:rPr>
  </w:style>
  <w:style w:type="paragraph" w:styleId="Header">
    <w:name w:val="header"/>
    <w:basedOn w:val="Normal"/>
    <w:pPr>
      <w:suppressAutoHyphens w:val="true"/>
    </w:pPr>
    <w:rPr>
      <w:rFonts w:ascii="Book Antiqua" w:hAnsi="Book Antiqua" w:cs="Book Antiqua"/>
      <w:b/>
      <w:i/>
      <w:sz w:val="20"/>
      <w:lang w:val="en-US"/>
    </w:rPr>
  </w:style>
  <w:style w:type="paragraph" w:styleId="ListContinue">
    <w:name w:val="List Continue"/>
    <w:basedOn w:val="Normal"/>
    <w:qFormat/>
    <w:pPr>
      <w:suppressAutoHyphens w:val="true"/>
      <w:spacing w:before="0" w:after="120"/>
      <w:ind w:hanging="0" w:start="360" w:end="0"/>
    </w:pPr>
    <w:rPr>
      <w:rFonts w:ascii="Book Antiqua" w:hAnsi="Book Antiqua" w:cs="Book Antiqua"/>
      <w:sz w:val="22"/>
      <w:lang w:val="en-US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60"/>
    </w:pPr>
    <w:rPr>
      <w:rFonts w:ascii="Helvetica;Arial" w:hAnsi="Helvetica;Arial" w:eastAsia="Times New Roman" w:cs="Helvetica;Arial"/>
      <w:color w:val="auto"/>
      <w:spacing w:val="-2"/>
      <w:sz w:val="20"/>
      <w:szCs w:val="20"/>
      <w:lang w:val="en-GB" w:bidi="ar-SA" w:eastAsia="zh-CN"/>
    </w:rPr>
  </w:style>
  <w:style w:type="paragraph" w:styleId="NormalHanging">
    <w:name w:val="Normal Hanging"/>
    <w:basedOn w:val="Normal"/>
    <w:qFormat/>
    <w:pPr>
      <w:ind w:hanging="720" w:start="72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ubtitle">
    <w:name w:val="Subtitle"/>
    <w:basedOn w:val="Normal"/>
    <w:next w:val="BodyText"/>
    <w:qFormat/>
    <w:pPr>
      <w:spacing w:before="0" w:after="120"/>
      <w:jc w:val="center"/>
    </w:pPr>
    <w:rPr>
      <w:b/>
      <w:sz w:val="24"/>
    </w:rPr>
  </w:style>
  <w:style w:type="paragraph" w:styleId="Table">
    <w:name w:val="Table"/>
    <w:basedOn w:val="Normal"/>
    <w:qFormat/>
    <w:pPr>
      <w:spacing w:before="60" w:after="60"/>
    </w:pPr>
    <w:rPr>
      <w:sz w:val="18"/>
    </w:rPr>
  </w:style>
  <w:style w:type="paragraph" w:styleId="TableFootnote">
    <w:name w:val="Table Footnote"/>
    <w:basedOn w:val="Normal"/>
    <w:qFormat/>
    <w:pPr>
      <w:spacing w:before="240" w:after="120"/>
    </w:pPr>
    <w:rPr>
      <w:sz w:val="16"/>
    </w:rPr>
  </w:style>
  <w:style w:type="paragraph" w:styleId="TableSub-Title">
    <w:name w:val="Table Sub-Title"/>
    <w:basedOn w:val="Normal"/>
    <w:qFormat/>
    <w:pPr>
      <w:spacing w:before="240" w:after="120"/>
    </w:pPr>
    <w:rPr>
      <w:b/>
      <w:i/>
      <w:sz w:val="20"/>
    </w:rPr>
  </w:style>
  <w:style w:type="paragraph" w:styleId="TableText">
    <w:name w:val="Table Text"/>
    <w:basedOn w:val="Normal"/>
    <w:qFormat/>
    <w:pPr>
      <w:spacing w:before="60" w:after="60"/>
    </w:pPr>
    <w:rPr>
      <w:sz w:val="20"/>
    </w:rPr>
  </w:style>
  <w:style w:type="paragraph" w:styleId="TableTitle">
    <w:name w:val="Table Title"/>
    <w:basedOn w:val="Normal"/>
    <w:qFormat/>
    <w:pPr>
      <w:spacing w:before="240" w:after="240"/>
      <w:jc w:val="center"/>
    </w:pPr>
    <w:rPr>
      <w:b/>
    </w:rPr>
  </w:style>
  <w:style w:type="paragraph" w:styleId="TOAHeading">
    <w:name w:val="TOA Heading"/>
    <w:basedOn w:val="Normal"/>
    <w:next w:val="Normal"/>
    <w:qFormat/>
    <w:pPr>
      <w:spacing w:before="360" w:after="120"/>
      <w:ind w:hanging="720" w:start="720" w:end="0"/>
    </w:pPr>
    <w:rPr>
      <w:b/>
      <w:sz w:val="24"/>
    </w:rPr>
  </w:style>
  <w:style w:type="paragraph" w:styleId="TOC5">
    <w:name w:val="toc 5"/>
    <w:basedOn w:val="Normal"/>
    <w:next w:val="Normal"/>
    <w:pPr/>
    <w:rPr/>
  </w:style>
  <w:style w:type="paragraph" w:styleId="TOC6">
    <w:name w:val="toc 6"/>
    <w:basedOn w:val="Normal"/>
    <w:next w:val="Normal"/>
    <w:pPr/>
    <w:rPr/>
  </w:style>
  <w:style w:type="paragraph" w:styleId="TOC7">
    <w:name w:val="toc 7"/>
    <w:basedOn w:val="Normal"/>
    <w:next w:val="Normal"/>
    <w:pPr/>
    <w:rPr/>
  </w:style>
  <w:style w:type="paragraph" w:styleId="TOC8">
    <w:name w:val="toc 8"/>
    <w:basedOn w:val="Normal"/>
    <w:next w:val="Normal"/>
    <w:pPr/>
    <w:rPr/>
  </w:style>
  <w:style w:type="paragraph" w:styleId="TOC9">
    <w:name w:val="toc 9"/>
    <w:basedOn w:val="Normal"/>
    <w:next w:val="Normal"/>
    <w:pPr/>
    <w:rPr/>
  </w:style>
  <w:style w:type="paragraph" w:styleId="TOCA">
    <w:name w:val="TOC A"/>
    <w:basedOn w:val="Normal"/>
    <w:qFormat/>
    <w:pPr>
      <w:tabs>
        <w:tab w:val="left" w:pos="720" w:leader="none"/>
        <w:tab w:val="right" w:pos="8669" w:leader="dot"/>
      </w:tabs>
      <w:spacing w:before="240" w:after="0"/>
      <w:ind w:hanging="0" w:start="0" w:end="720"/>
      <w:jc w:val="start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2001-03-30T17:10:00Z</dcterms:created>
  <dc:creator>Seabron Adamson</dc:creator>
  <dc:description/>
  <dc:language>en-CA</dc:language>
  <cp:lastModifiedBy>Seabron Adamson</cp:lastModifiedBy>
  <cp:lastPrinted>2001-03-30T15:14:00Z</cp:lastPrinted>
  <dcterms:modified xsi:type="dcterms:W3CDTF">2001-03-30T17:47:00Z</dcterms:modified>
  <cp:revision>2</cp:revision>
  <dc:subject/>
  <dc:title>Revised outline for policy paper</dc:title>
</cp:coreProperties>
</file>