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eastAsia="en-CA"/>
        </w:rPr>
      </w:pPr>
      <w:r>
        <w:rPr>
          <w:lang w:val="en-CA" w:eastAsia="en-CA"/>
        </w:rPr>
        <w:drawing>
          <wp:anchor behindDoc="0" distT="0" distB="0" distL="114935" distR="114935" simplePos="0" locked="0" layoutInCell="0" allowOverlap="1" relativeHeight="2">
            <wp:simplePos x="0" y="0"/>
            <wp:positionH relativeFrom="column">
              <wp:posOffset>3689985</wp:posOffset>
            </wp:positionH>
            <wp:positionV relativeFrom="paragraph">
              <wp:posOffset>-310515</wp:posOffset>
            </wp:positionV>
            <wp:extent cx="1800225" cy="876300"/>
            <wp:effectExtent l="0" t="0" r="0" b="0"/>
            <wp:wrapTopAndBottom/>
            <wp:docPr id="1" name="F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logo" descr="" title=""/>
                    <pic:cNvPicPr>
                      <a:picLocks noChangeAspect="1" noChangeArrowheads="1"/>
                    </pic:cNvPicPr>
                  </pic:nvPicPr>
                  <pic:blipFill>
                    <a:blip r:embed="rId2"/>
                    <a:srcRect l="-20" t="-41" r="-20" b="-41"/>
                    <a:stretch>
                      <a:fillRect/>
                    </a:stretch>
                  </pic:blipFill>
                  <pic:spPr bwMode="auto">
                    <a:xfrm>
                      <a:off x="0" y="0"/>
                      <a:ext cx="1800225" cy="876300"/>
                    </a:xfrm>
                    <a:prstGeom prst="rect">
                      <a:avLst/>
                    </a:prstGeom>
                    <a:noFill/>
                  </pic:spPr>
                </pic:pic>
              </a:graphicData>
            </a:graphic>
          </wp:anchor>
        </w:drawing>
      </w:r>
    </w:p>
    <w:p>
      <w:pPr>
        <w:pStyle w:val="DocumentLabel"/>
        <w:ind w:start="0" w:end="0"/>
        <w:rPr>
          <w:sz w:val="48"/>
        </w:rPr>
      </w:pPr>
      <w:r>
        <w:rPr>
          <w:sz w:val="48"/>
        </w:rPr>
        <w:t>Memorandum</w:t>
      </w:r>
    </w:p>
    <w:p>
      <w:pPr>
        <w:pStyle w:val="MessageHeaderFirst"/>
        <w:rPr/>
      </w:pPr>
      <w:r>
        <w:rPr>
          <w:rStyle w:val="MessageHeaderLabel"/>
          <w:rFonts w:cs="Book Antiqua" w:ascii="Book Antiqua" w:hAnsi="Book Antiqua"/>
          <w:spacing w:val="-25"/>
          <w:sz w:val="22"/>
        </w:rPr>
        <w:t>T</w:t>
      </w:r>
      <w:r>
        <w:rPr>
          <w:rStyle w:val="MessageHeaderLabel"/>
          <w:rFonts w:cs="Book Antiqua" w:ascii="Book Antiqua" w:hAnsi="Book Antiqua"/>
          <w:sz w:val="22"/>
        </w:rPr>
        <w:t>o:</w:t>
      </w:r>
      <w:r>
        <w:rPr>
          <w:rFonts w:cs="Book Antiqua" w:ascii="Book Antiqua" w:hAnsi="Book Antiqua"/>
          <w:sz w:val="22"/>
        </w:rPr>
        <w:tab/>
        <w:t>Rick Shapiro, Enron</w:t>
      </w:r>
    </w:p>
    <w:p>
      <w:pPr>
        <w:pStyle w:val="MessageHeader"/>
        <w:rPr/>
      </w:pPr>
      <w:r>
        <w:rPr>
          <w:rStyle w:val="MessageHeaderLabel"/>
          <w:rFonts w:cs="Book Antiqua" w:ascii="Book Antiqua" w:hAnsi="Book Antiqua"/>
          <w:sz w:val="22"/>
        </w:rPr>
        <w:t>From:</w:t>
      </w:r>
      <w:r>
        <w:rPr>
          <w:rFonts w:cs="Book Antiqua" w:ascii="Book Antiqua" w:hAnsi="Book Antiqua"/>
          <w:sz w:val="22"/>
        </w:rPr>
        <w:tab/>
        <w:t>Seabron Adamson, Frontier Economics</w:t>
      </w:r>
    </w:p>
    <w:p>
      <w:pPr>
        <w:pStyle w:val="MessageHeader"/>
        <w:rPr/>
      </w:pPr>
      <w:r>
        <w:rPr>
          <w:rStyle w:val="MessageHeaderLabel"/>
          <w:rFonts w:cs="Book Antiqua" w:ascii="Book Antiqua" w:hAnsi="Book Antiqua"/>
          <w:sz w:val="22"/>
        </w:rPr>
        <w:t>CC:</w:t>
      </w:r>
      <w:r>
        <w:rPr>
          <w:rFonts w:cs="Book Antiqua" w:ascii="Book Antiqua" w:hAnsi="Book Antiqua"/>
          <w:sz w:val="22"/>
        </w:rPr>
        <w:tab/>
        <w:t>Transmission pricing/RTO review group</w:t>
      </w:r>
    </w:p>
    <w:p>
      <w:pPr>
        <w:pStyle w:val="MessageHeader"/>
        <w:rPr/>
      </w:pPr>
      <w:r>
        <w:rPr>
          <w:rStyle w:val="MessageHeaderLabel"/>
          <w:rFonts w:cs="Book Antiqua" w:ascii="Book Antiqua" w:hAnsi="Book Antiqua"/>
          <w:sz w:val="22"/>
        </w:rPr>
        <w:t>Date:</w:t>
      </w:r>
      <w:r>
        <w:rPr>
          <w:rFonts w:cs="Book Antiqua" w:ascii="Book Antiqua" w:hAnsi="Book Antiqua"/>
          <w:sz w:val="22"/>
        </w:rPr>
        <w:tab/>
        <w:t>February 26</w:t>
      </w:r>
      <w:r>
        <w:rPr>
          <w:rFonts w:cs="Book Antiqua" w:ascii="Book Antiqua" w:hAnsi="Book Antiqua"/>
          <w:sz w:val="22"/>
          <w:vertAlign w:val="superscript"/>
        </w:rPr>
        <w:t>th</w:t>
      </w:r>
      <w:r>
        <w:rPr>
          <w:rFonts w:cs="Book Antiqua" w:ascii="Book Antiqua" w:hAnsi="Book Antiqua"/>
          <w:sz w:val="22"/>
        </w:rPr>
        <w:t>, 2001</w:t>
      </w:r>
    </w:p>
    <w:p>
      <w:pPr>
        <w:pStyle w:val="MessageHeaderLast"/>
        <w:rPr/>
      </w:pPr>
      <w:r>
        <w:rPr>
          <w:rStyle w:val="MessageHeaderLabel"/>
          <w:rFonts w:cs="Book Antiqua" w:ascii="Book Antiqua" w:hAnsi="Book Antiqua"/>
          <w:sz w:val="22"/>
        </w:rPr>
        <w:t>Re:</w:t>
      </w:r>
      <w:r>
        <w:rPr>
          <w:rFonts w:cs="Book Antiqua" w:ascii="Book Antiqua" w:hAnsi="Book Antiqua"/>
          <w:sz w:val="22"/>
        </w:rPr>
        <w:tab/>
        <w:t>Plans for market analysis</w:t>
      </w:r>
    </w:p>
    <w:p>
      <w:pPr>
        <w:pStyle w:val="Heading6"/>
        <w:ind w:hanging="0" w:start="0"/>
        <w:rPr/>
      </w:pPr>
      <w:r>
        <w:rPr/>
        <w:t>Strictly Private and Confidential</w:t>
      </w:r>
    </w:p>
    <w:p>
      <w:pPr>
        <w:pStyle w:val="Normal"/>
        <w:spacing w:before="0" w:after="120"/>
        <w:jc w:val="both"/>
        <w:rPr>
          <w:rFonts w:ascii="Book Antiqua" w:hAnsi="Book Antiqua" w:cs="Book Antiqua"/>
          <w:sz w:val="22"/>
        </w:rPr>
      </w:pPr>
      <w:r>
        <w:rPr>
          <w:rFonts w:cs="Book Antiqua" w:ascii="Book Antiqua" w:hAnsi="Book Antiqua"/>
          <w:sz w:val="22"/>
        </w:rPr>
        <w:t>Following our meeting on Friday I thought I would jot down some thoughts on what analysis Frontier will provide, and some proposed dates. Given the time pressure we will not try to develop polished position papers but instead will circulate drafts so we can get some feedback quickly. The final position paper will need some more polish but that should come after the ideas have first been presented and discussed.</w:t>
      </w:r>
    </w:p>
    <w:p>
      <w:pPr>
        <w:pStyle w:val="Normal"/>
        <w:spacing w:before="0" w:after="120"/>
        <w:jc w:val="both"/>
        <w:rPr>
          <w:rFonts w:ascii="Book Antiqua" w:hAnsi="Book Antiqua" w:cs="Book Antiqua"/>
          <w:sz w:val="22"/>
        </w:rPr>
      </w:pPr>
      <w:r>
        <w:rPr>
          <w:rFonts w:cs="Book Antiqua" w:ascii="Book Antiqua" w:hAnsi="Book Antiqua"/>
          <w:sz w:val="22"/>
        </w:rPr>
        <w:t>On Friday we agreed to start with the basic objectives of a power market model from the Enron perspective. This should be consistent with two basic drivers. First, what type of market model is consistent with Enron’s corporate level strategy and vision? A market structure advantageous for a portfolio generator in a concentrated regional market is unlikely to be advantageous for a company like Enron that focuses primarily on financial intermediation and risk management. Second, it must support a viable and robust market. While the short-term profits from a broken market structure might be high, I would expect that Enron as a firm has a strong interest in the development of market structures that are practically workable and stable. There is no need for further California-style disasters.</w:t>
      </w:r>
    </w:p>
    <w:p>
      <w:pPr>
        <w:pStyle w:val="BodyText2"/>
        <w:spacing w:before="0" w:after="120"/>
        <w:rPr/>
      </w:pPr>
      <w:r>
        <w:rPr/>
        <w:t>We agreed in Houston that the analysis should encompass four elements. These will be discussed in turn.</w:t>
      </w:r>
    </w:p>
    <w:p>
      <w:pPr>
        <w:pStyle w:val="BodyText2"/>
        <w:spacing w:before="0" w:after="120"/>
        <w:rPr>
          <w:b/>
          <w:bCs/>
          <w:i/>
          <w:i/>
          <w:iCs/>
        </w:rPr>
      </w:pPr>
      <w:r>
        <w:rPr>
          <w:b/>
          <w:bCs/>
          <w:i/>
          <w:iCs/>
        </w:rPr>
        <w:t>Attributes of a model power market</w:t>
      </w:r>
    </w:p>
    <w:p>
      <w:pPr>
        <w:pStyle w:val="Normal"/>
        <w:spacing w:before="0" w:after="120"/>
        <w:jc w:val="both"/>
        <w:rPr>
          <w:rFonts w:ascii="Book Antiqua" w:hAnsi="Book Antiqua" w:cs="Book Antiqua"/>
          <w:sz w:val="22"/>
        </w:rPr>
      </w:pPr>
      <w:r>
        <w:rPr>
          <w:rFonts w:cs="Book Antiqua" w:ascii="Book Antiqua" w:hAnsi="Book Antiqua"/>
          <w:sz w:val="22"/>
        </w:rPr>
        <w:t>The first stage will develop the positive attributes and objectives for a competitive power market. These would be at the abstract level and will lay the groundwork for shifts in policy if required. I see the final policy paper endorsing these as the primary criteria for market design, and we can then argue as necessary that any future policy shifts are just the changes the company sees as necessary for reaching these objectives. By setting the allegiance to economic and policy objectives, rather than the mechanics of certain proposals, Enron will be left in a more dynamically flexible public position, and can look both principled and yet have enough flexibility to respond to local issues and concerns.</w:t>
      </w:r>
    </w:p>
    <w:p>
      <w:pPr>
        <w:pStyle w:val="Normal"/>
        <w:spacing w:before="0" w:after="120"/>
        <w:jc w:val="both"/>
        <w:rPr/>
      </w:pPr>
      <w:r>
        <w:rPr>
          <w:rFonts w:cs="Book Antiqua" w:ascii="Book Antiqua" w:hAnsi="Book Antiqua"/>
          <w:i/>
          <w:iCs/>
          <w:sz w:val="22"/>
        </w:rPr>
        <w:t>Work product: Given the time pressures, we will try to deliver a first cut at a short piece on this by Wednesday, Feb. 28</w:t>
      </w:r>
      <w:r>
        <w:rPr>
          <w:rFonts w:cs="Book Antiqua" w:ascii="Book Antiqua" w:hAnsi="Book Antiqua"/>
          <w:i/>
          <w:iCs/>
          <w:sz w:val="22"/>
          <w:vertAlign w:val="superscript"/>
        </w:rPr>
        <w:t>th</w:t>
      </w:r>
      <w:r>
        <w:rPr>
          <w:rFonts w:cs="Book Antiqua" w:ascii="Book Antiqua" w:hAnsi="Book Antiqua"/>
          <w:i/>
          <w:iCs/>
          <w:sz w:val="22"/>
        </w:rPr>
        <w:t xml:space="preserve">. I have already started sketching it out. The aim will be to cut the long list of attributes developed on Friday down to five or six. </w:t>
      </w:r>
    </w:p>
    <w:p>
      <w:pPr>
        <w:pStyle w:val="4SubPara"/>
        <w:suppressAutoHyphens w:val="false"/>
        <w:spacing w:before="0" w:after="120"/>
        <w:rPr>
          <w:bCs/>
          <w:spacing w:val="-5"/>
        </w:rPr>
      </w:pPr>
      <w:r>
        <w:rPr>
          <w:bCs/>
          <w:spacing w:val="-5"/>
        </w:rPr>
        <w:t>Resulting model market structure and context for departure from past advocacy positions</w:t>
      </w:r>
    </w:p>
    <w:p>
      <w:pPr>
        <w:pStyle w:val="Normal"/>
        <w:spacing w:before="0" w:after="120"/>
        <w:jc w:val="both"/>
        <w:rPr>
          <w:rFonts w:ascii="Book Antiqua" w:hAnsi="Book Antiqua" w:cs="Book Antiqua"/>
          <w:sz w:val="22"/>
        </w:rPr>
      </w:pPr>
      <w:r>
        <w:rPr>
          <w:rFonts w:cs="Book Antiqua" w:ascii="Book Antiqua" w:hAnsi="Book Antiqua"/>
          <w:sz w:val="22"/>
        </w:rPr>
        <w:t>Once we have developed the ideal attributes for the power market we will propose a longer-term market structure that we think best fits those objectives and attributes. This I believe will need to be fairly detailed. While it certainly will not be complete I think it does need to have some discussion on how the basic functions of the model market will work. Otherwise all of these models start seeming almost the same when in fact many critical differences exist at the detailed level.</w:t>
      </w:r>
    </w:p>
    <w:p>
      <w:pPr>
        <w:pStyle w:val="Normal"/>
        <w:spacing w:before="0" w:after="120"/>
        <w:jc w:val="both"/>
        <w:rPr>
          <w:rFonts w:ascii="Book Antiqua" w:hAnsi="Book Antiqua" w:cs="Book Antiqua"/>
          <w:sz w:val="22"/>
        </w:rPr>
      </w:pPr>
      <w:r>
        <w:rPr>
          <w:rFonts w:cs="Book Antiqua" w:ascii="Book Antiqua" w:hAnsi="Book Antiqua"/>
          <w:sz w:val="22"/>
        </w:rPr>
        <w:t>The model market structure draft paper will describe:</w:t>
      </w:r>
    </w:p>
    <w:p>
      <w:pPr>
        <w:pStyle w:val="Normal"/>
        <w:numPr>
          <w:ilvl w:val="0"/>
          <w:numId w:val="2"/>
        </w:numPr>
        <w:spacing w:before="0" w:after="120"/>
        <w:jc w:val="both"/>
        <w:rPr>
          <w:rFonts w:ascii="Book Antiqua" w:hAnsi="Book Antiqua" w:cs="Book Antiqua"/>
          <w:sz w:val="22"/>
        </w:rPr>
      </w:pPr>
      <w:r>
        <w:rPr>
          <w:rFonts w:cs="Book Antiqua" w:ascii="Book Antiqua" w:hAnsi="Book Antiqua"/>
          <w:sz w:val="22"/>
        </w:rPr>
        <w:t>Market mechanisms for real-time clearing, operations and settlement;</w:t>
      </w:r>
    </w:p>
    <w:p>
      <w:pPr>
        <w:pStyle w:val="Normal"/>
        <w:numPr>
          <w:ilvl w:val="0"/>
          <w:numId w:val="2"/>
        </w:numPr>
        <w:spacing w:before="0" w:after="120"/>
        <w:jc w:val="both"/>
        <w:rPr>
          <w:rFonts w:ascii="Book Antiqua" w:hAnsi="Book Antiqua" w:cs="Book Antiqua"/>
          <w:sz w:val="22"/>
        </w:rPr>
      </w:pPr>
      <w:r>
        <w:rPr>
          <w:rFonts w:cs="Book Antiqua" w:ascii="Book Antiqua" w:hAnsi="Book Antiqua"/>
          <w:sz w:val="22"/>
        </w:rPr>
        <w:t>Market mechanisms for forward trading;</w:t>
      </w:r>
      <w:r>
        <w:rPr>
          <w:rStyle w:val="FootnoteCharacters"/>
          <w:rStyle w:val="FootnoteReference"/>
          <w:rFonts w:cs="Book Antiqua" w:ascii="Book Antiqua" w:hAnsi="Book Antiqua"/>
          <w:sz w:val="22"/>
        </w:rPr>
        <w:footnoteReference w:id="2"/>
      </w:r>
    </w:p>
    <w:p>
      <w:pPr>
        <w:pStyle w:val="Normal"/>
        <w:numPr>
          <w:ilvl w:val="0"/>
          <w:numId w:val="2"/>
        </w:numPr>
        <w:spacing w:before="0" w:after="120"/>
        <w:jc w:val="both"/>
        <w:rPr>
          <w:rFonts w:ascii="Book Antiqua" w:hAnsi="Book Antiqua" w:cs="Book Antiqua"/>
          <w:sz w:val="22"/>
        </w:rPr>
      </w:pPr>
      <w:r>
        <w:rPr>
          <w:rFonts w:cs="Book Antiqua" w:ascii="Book Antiqua" w:hAnsi="Book Antiqua"/>
          <w:sz w:val="22"/>
        </w:rPr>
        <w:t>Scope of RTO operations, planning and governance (e.g. transcos vs. ISOs)</w:t>
      </w:r>
    </w:p>
    <w:p>
      <w:pPr>
        <w:pStyle w:val="Normal"/>
        <w:numPr>
          <w:ilvl w:val="0"/>
          <w:numId w:val="2"/>
        </w:numPr>
        <w:spacing w:before="0" w:after="120"/>
        <w:jc w:val="both"/>
        <w:rPr>
          <w:rFonts w:ascii="Book Antiqua" w:hAnsi="Book Antiqua" w:cs="Book Antiqua"/>
          <w:sz w:val="22"/>
        </w:rPr>
      </w:pPr>
      <w:r>
        <w:rPr>
          <w:rFonts w:cs="Book Antiqua" w:ascii="Book Antiqua" w:hAnsi="Book Antiqua"/>
          <w:sz w:val="22"/>
        </w:rPr>
        <w:t>Transmission pricing and trading in real-time and forwards;</w:t>
      </w:r>
    </w:p>
    <w:p>
      <w:pPr>
        <w:pStyle w:val="Normal"/>
        <w:numPr>
          <w:ilvl w:val="0"/>
          <w:numId w:val="2"/>
        </w:numPr>
        <w:spacing w:before="0" w:after="120"/>
        <w:jc w:val="both"/>
        <w:rPr>
          <w:rFonts w:ascii="Book Antiqua" w:hAnsi="Book Antiqua" w:cs="Book Antiqua"/>
          <w:sz w:val="22"/>
        </w:rPr>
      </w:pPr>
      <w:r>
        <w:rPr>
          <w:rFonts w:cs="Book Antiqua" w:ascii="Book Antiqua" w:hAnsi="Book Antiqua"/>
          <w:sz w:val="22"/>
        </w:rPr>
        <w:t>Unit commitment and reliability planning;</w:t>
      </w:r>
    </w:p>
    <w:p>
      <w:pPr>
        <w:pStyle w:val="Normal"/>
        <w:numPr>
          <w:ilvl w:val="0"/>
          <w:numId w:val="2"/>
        </w:numPr>
        <w:spacing w:before="0" w:after="120"/>
        <w:jc w:val="both"/>
        <w:rPr>
          <w:rFonts w:ascii="Book Antiqua" w:hAnsi="Book Antiqua" w:cs="Book Antiqua"/>
          <w:sz w:val="22"/>
        </w:rPr>
      </w:pPr>
      <w:r>
        <w:rPr>
          <w:rFonts w:cs="Book Antiqua" w:ascii="Book Antiqua" w:hAnsi="Book Antiqua"/>
          <w:sz w:val="22"/>
        </w:rPr>
        <w:t>Optimal regulation of transmission operators, which is tied to issues about the creation, allocation and trading of transmission rights;</w:t>
      </w:r>
    </w:p>
    <w:p>
      <w:pPr>
        <w:pStyle w:val="Normal"/>
        <w:numPr>
          <w:ilvl w:val="0"/>
          <w:numId w:val="2"/>
        </w:numPr>
        <w:spacing w:before="0" w:after="120"/>
        <w:jc w:val="both"/>
        <w:rPr>
          <w:rFonts w:ascii="Book Antiqua" w:hAnsi="Book Antiqua" w:cs="Book Antiqua"/>
          <w:sz w:val="22"/>
        </w:rPr>
      </w:pPr>
      <w:r>
        <w:rPr>
          <w:rFonts w:cs="Book Antiqua" w:ascii="Book Antiqua" w:hAnsi="Book Antiqua"/>
          <w:sz w:val="22"/>
        </w:rPr>
        <w:t>Ancillary services pricing, scheduling and settlement.</w:t>
      </w:r>
    </w:p>
    <w:p>
      <w:pPr>
        <w:pStyle w:val="Normal"/>
        <w:spacing w:before="0" w:after="120"/>
        <w:jc w:val="both"/>
        <w:rPr>
          <w:rFonts w:ascii="Book Antiqua" w:hAnsi="Book Antiqua" w:cs="Book Antiqua"/>
          <w:sz w:val="22"/>
        </w:rPr>
      </w:pPr>
      <w:r>
        <w:rPr>
          <w:rFonts w:cs="Book Antiqua" w:ascii="Book Antiqua" w:hAnsi="Book Antiqua"/>
          <w:sz w:val="22"/>
        </w:rPr>
        <w:t>Our ideal market structure will likely involve some departure from Enron’s past public positions of various elements of market design. Within this context we will try to highlight these differences and tie them to the market attributes and objectives previously developed.</w:t>
      </w:r>
    </w:p>
    <w:p>
      <w:pPr>
        <w:pStyle w:val="Normal"/>
        <w:spacing w:before="0" w:after="120"/>
        <w:jc w:val="both"/>
        <w:rPr/>
      </w:pPr>
      <w:r>
        <w:rPr>
          <w:rFonts w:cs="Book Antiqua" w:ascii="Book Antiqua" w:hAnsi="Book Antiqua"/>
          <w:i/>
          <w:iCs/>
          <w:sz w:val="22"/>
        </w:rPr>
        <w:t>Work product: Again, given the situation I don’t think we can afford a long process of developing a polished draft paper. I therefore propose to circulate a first draft by Monday March 5</w:t>
      </w:r>
      <w:r>
        <w:rPr>
          <w:rFonts w:cs="Book Antiqua" w:ascii="Book Antiqua" w:hAnsi="Book Antiqua"/>
          <w:i/>
          <w:iCs/>
          <w:sz w:val="22"/>
          <w:vertAlign w:val="superscript"/>
        </w:rPr>
        <w:t>th</w:t>
      </w:r>
      <w:r>
        <w:rPr>
          <w:rFonts w:cs="Book Antiqua" w:ascii="Book Antiqua" w:hAnsi="Book Antiqua"/>
          <w:i/>
          <w:iCs/>
          <w:sz w:val="22"/>
        </w:rPr>
        <w:t xml:space="preserve"> at the latest. I will try to have a very first cut ready by Friday the 2</w:t>
      </w:r>
      <w:r>
        <w:rPr>
          <w:rFonts w:cs="Book Antiqua" w:ascii="Book Antiqua" w:hAnsi="Book Antiqua"/>
          <w:i/>
          <w:iCs/>
          <w:sz w:val="22"/>
          <w:vertAlign w:val="superscript"/>
        </w:rPr>
        <w:t>nd</w:t>
      </w:r>
      <w:r>
        <w:rPr>
          <w:rFonts w:cs="Book Antiqua" w:ascii="Book Antiqua" w:hAnsi="Book Antiqua"/>
          <w:i/>
          <w:iCs/>
          <w:sz w:val="22"/>
        </w:rPr>
        <w:t xml:space="preserve"> (end of this week).</w:t>
      </w:r>
    </w:p>
    <w:p>
      <w:pPr>
        <w:pStyle w:val="4SubPara"/>
        <w:suppressAutoHyphens w:val="false"/>
        <w:spacing w:before="0" w:after="120"/>
        <w:rPr>
          <w:bCs/>
          <w:spacing w:val="-5"/>
        </w:rPr>
      </w:pPr>
      <w:r>
        <w:rPr>
          <w:bCs/>
          <w:spacing w:val="-5"/>
        </w:rPr>
        <w:t>Realities of North American markets and “pragmatic” market structures that result</w:t>
      </w:r>
    </w:p>
    <w:p>
      <w:pPr>
        <w:pStyle w:val="Normal"/>
        <w:spacing w:before="0" w:after="120"/>
        <w:jc w:val="both"/>
        <w:rPr>
          <w:rFonts w:ascii="Book Antiqua" w:hAnsi="Book Antiqua" w:cs="Book Antiqua"/>
          <w:sz w:val="22"/>
        </w:rPr>
      </w:pPr>
      <w:r>
        <w:rPr>
          <w:rFonts w:cs="Book Antiqua" w:ascii="Book Antiqua" w:hAnsi="Book Antiqua"/>
          <w:sz w:val="22"/>
        </w:rPr>
        <w:t>The next stage will be to move from the abstract back down to the regional markets now actually under development through the RTO process. Here the economic and strategic ideal needs to be tempered with an appreciation of the characteristics of local systems, ownership, and retail development.</w:t>
      </w:r>
    </w:p>
    <w:p>
      <w:pPr>
        <w:pStyle w:val="Normal"/>
        <w:spacing w:before="0" w:after="120"/>
        <w:jc w:val="both"/>
        <w:rPr>
          <w:rFonts w:ascii="Book Antiqua" w:hAnsi="Book Antiqua" w:cs="Book Antiqua"/>
          <w:sz w:val="22"/>
        </w:rPr>
      </w:pPr>
      <w:r>
        <w:rPr>
          <w:rFonts w:cs="Book Antiqua" w:ascii="Book Antiqua" w:hAnsi="Book Antiqua"/>
          <w:sz w:val="22"/>
        </w:rPr>
        <w:t xml:space="preserve">For each of the RTOs under discussion we will develop a “pragmatic” market design that could be the medium-term objectives for Enron’s advocacy efforts in the region. This will need to be done in conjunction with Enron’s staff. The objective of these pragmatic market designs should be a medium-term structure that supports the firm’s commercial objectives, and that does not create any long-term obstacles to the development of the preferred market structure. </w:t>
      </w:r>
    </w:p>
    <w:p>
      <w:pPr>
        <w:pStyle w:val="BodyText2"/>
        <w:spacing w:before="0" w:after="120"/>
        <w:rPr/>
      </w:pPr>
      <w:r>
        <w:rPr/>
        <w:t xml:space="preserve">For each of the pragmatic market structures we will provide some discussion of why this is the best medium-term model given both Enron’s market objectives and present realities. Where the new structure contains any significant departures from past positions these will need to be put in the context of making what changes are necessary to meet core objectives. </w:t>
      </w:r>
    </w:p>
    <w:p>
      <w:pPr>
        <w:pStyle w:val="Normal"/>
        <w:spacing w:before="0" w:after="120"/>
        <w:jc w:val="both"/>
        <w:rPr>
          <w:rFonts w:ascii="Book Antiqua" w:hAnsi="Book Antiqua" w:cs="Book Antiqua"/>
          <w:i/>
          <w:i/>
          <w:iCs/>
          <w:sz w:val="22"/>
        </w:rPr>
      </w:pPr>
      <w:r>
        <w:rPr>
          <w:rFonts w:cs="Book Antiqua" w:ascii="Book Antiqua" w:hAnsi="Book Antiqua"/>
          <w:i/>
          <w:iCs/>
          <w:sz w:val="22"/>
        </w:rPr>
        <w:t>Work product: It may be best if we put together, along with Joe Hartsoe, Steve Walton etc. a presentation of each of the RTOs, including what is now under discussion, what we think is the appropriate pragmatic medium-term model, and how this could then be transitioned towards our longer-term ideal model. We can put together detailed briefing papers if necessary, after we have received some feedback from key Enron staff.</w:t>
      </w:r>
    </w:p>
    <w:p>
      <w:pPr>
        <w:pStyle w:val="4SubPara"/>
        <w:suppressAutoHyphens w:val="false"/>
        <w:spacing w:before="0" w:after="120"/>
        <w:rPr>
          <w:bCs/>
          <w:spacing w:val="-5"/>
        </w:rPr>
      </w:pPr>
      <w:r>
        <w:rPr>
          <w:bCs/>
          <w:spacing w:val="-5"/>
        </w:rPr>
        <w:t>Recommendations for achieving model within reasonable time frame</w:t>
      </w:r>
    </w:p>
    <w:p>
      <w:pPr>
        <w:pStyle w:val="BodyText2"/>
        <w:spacing w:before="0" w:after="120"/>
        <w:rPr/>
      </w:pPr>
      <w:r>
        <w:rPr/>
        <w:t xml:space="preserve">This might be best incorporated into the previous task. A key test of each of the pragmatic medium-term structures is their consistency with the longer-term vision of how the market can work. We will develop as part of the “pragmatic” market designs a transition plan for moving to a more complete market structure. This could include the design and duration of transitional structures (e.g. transmission rights contracts, auctions of rights, plans for development of incentive regulation for transmission operators, etc.). </w:t>
      </w:r>
    </w:p>
    <w:p>
      <w:pPr>
        <w:pStyle w:val="Normal"/>
        <w:spacing w:before="0" w:after="120"/>
        <w:jc w:val="both"/>
        <w:rPr>
          <w:rFonts w:ascii="Book Antiqua" w:hAnsi="Book Antiqua" w:cs="Book Antiqua"/>
          <w:sz w:val="22"/>
        </w:rPr>
      </w:pPr>
      <w:r>
        <w:rPr>
          <w:rFonts w:cs="Book Antiqua" w:ascii="Book Antiqua" w:hAnsi="Book Antiqua"/>
          <w:sz w:val="22"/>
        </w:rPr>
      </w:r>
    </w:p>
    <w:p>
      <w:pPr>
        <w:pStyle w:val="Normal"/>
        <w:spacing w:before="0" w:after="120"/>
        <w:jc w:val="both"/>
        <w:rPr/>
      </w:pPr>
      <w:r>
        <w:rPr>
          <w:rFonts w:cs="Book Antiqua" w:ascii="Book Antiqua" w:hAnsi="Book Antiqua"/>
          <w:sz w:val="22"/>
        </w:rPr>
        <w:t xml:space="preserve">Finally, we discussed on Friday the idea of an </w:t>
      </w:r>
      <w:r>
        <w:rPr>
          <w:rFonts w:cs="Book Antiqua" w:ascii="Book Antiqua" w:hAnsi="Book Antiqua"/>
          <w:i/>
          <w:iCs/>
          <w:sz w:val="22"/>
        </w:rPr>
        <w:t>Electricity Journal</w:t>
      </w:r>
      <w:r>
        <w:rPr>
          <w:rFonts w:cs="Book Antiqua" w:ascii="Book Antiqua" w:hAnsi="Book Antiqua"/>
          <w:sz w:val="22"/>
        </w:rPr>
        <w:t>-type paper. The focus of this paper should be the objectives and the outline design of a model market structure. This paper will serve give people (and FERC) an idea of where Enron is headed, and why. Once we have had some discussion and debate on our draft paper we can start pulling this together.</w:t>
      </w:r>
    </w:p>
    <w:p>
      <w:pPr>
        <w:pStyle w:val="Normal"/>
        <w:spacing w:before="0" w:after="120"/>
        <w:jc w:val="both"/>
        <w:rPr>
          <w:rFonts w:ascii="Book Antiqua" w:hAnsi="Book Antiqua" w:cs="Book Antiqua"/>
          <w:sz w:val="22"/>
        </w:rPr>
      </w:pPr>
      <w:r>
        <w:rPr>
          <w:rFonts w:cs="Book Antiqua" w:ascii="Book Antiqua" w:hAnsi="Book Antiqua"/>
          <w:sz w:val="22"/>
        </w:rPr>
      </w:r>
    </w:p>
    <w:sectPr>
      <w:headerReference w:type="default" r:id="rId3"/>
      <w:headerReference w:type="first" r:id="rId4"/>
      <w:footerReference w:type="default" r:id="rId5"/>
      <w:footerReference w:type="first" r:id="rId6"/>
      <w:footnotePr>
        <w:numFmt w:val="decimal"/>
      </w:footnotePr>
      <w:type w:val="nextPage"/>
      <w:pgSz w:w="12240" w:h="15840"/>
      <w:pgMar w:left="1800" w:right="1800" w:gutter="0" w:header="96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b/>
        <w:bCs/>
        <w:i/>
        <w:i/>
        <w:iCs/>
        <w:sz w:val="22"/>
      </w:rPr>
    </w:pPr>
    <w:r>
      <w:rPr>
        <w:b/>
        <w:bCs/>
        <w:i/>
        <w:iCs/>
        <w:sz w:val="22"/>
      </w:rPr>
      <w:t>DRAFT - Privileged and Confidential</w:t>
    </w:r>
  </w:p>
  <w:p>
    <w:pPr>
      <w:pStyle w:val="Footer"/>
      <w:spacing w:before="120" w:after="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jc w:val="both"/>
        <w:rPr/>
      </w:pPr>
      <w:r>
        <w:rPr>
          <w:rStyle w:val="FootnoteCharacters"/>
        </w:rPr>
        <w:footnoteRef/>
      </w:r>
      <w:r>
        <w:rPr/>
        <w:t xml:space="preserve"> </w:t>
      </w:r>
      <w:r>
        <w:rPr/>
        <w:tab/>
      </w:r>
      <w:r>
        <w:rPr>
          <w:rFonts w:cs="Book Antiqua" w:ascii="Book Antiqua" w:hAnsi="Book Antiqua"/>
        </w:rPr>
        <w:t>The key issue here is whether all forwards trading should purely financially based (as in PJM), or if forwards trading in physical power is possible (as in flow-based designs). The issues and implications here I think will need some elaboration, as the public debate here has never been very lucid.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jc w:val="center"/>
      <w:rPr>
        <w:b/>
        <w:bCs/>
        <w:sz w:val="22"/>
      </w:rPr>
    </w:pPr>
    <w:r>
      <w:rPr>
        <w:b/>
        <w:bCs/>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jc w:val="center"/>
      <w:rPr>
        <w:b/>
        <w:bCs/>
        <w:sz w:val="22"/>
      </w:rPr>
    </w:pPr>
    <w:r>
      <w:rPr>
        <w:b/>
        <w:bCs/>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paragraph" w:styleId="Heading6">
    <w:name w:val="heading 6"/>
    <w:basedOn w:val="Normal"/>
    <w:next w:val="Normal"/>
    <w:qFormat/>
    <w:pPr>
      <w:keepNext w:val="true"/>
      <w:numPr>
        <w:ilvl w:val="5"/>
        <w:numId w:val="1"/>
      </w:numPr>
      <w:spacing w:before="0" w:after="120"/>
      <w:jc w:val="center"/>
      <w:outlineLvl w:val="5"/>
    </w:pPr>
    <w:rPr>
      <w:rFonts w:ascii="Book Antiqua" w:hAnsi="Book Antiqua" w:cs="Book Antiqua"/>
      <w:b/>
      <w:bCs/>
      <w:sz w:val="24"/>
    </w:rPr>
  </w:style>
  <w:style w:type="character" w:styleId="WW8Num1z0">
    <w:name w:val="WW8Num1z0"/>
    <w:qFormat/>
    <w:rPr>
      <w:rFonts w:ascii="Symbol" w:hAnsi="Symbol" w:cs="Symbol"/>
      <w:color w:val="auto"/>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1z0">
    <w:name w:val="WW8Num21z0"/>
    <w:qFormat/>
    <w:rPr>
      <w:rFonts w:ascii="Symbol" w:hAnsi="Symbol" w:cs="Symbol"/>
      <w:color w:val="auto"/>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jc w:val="both"/>
    </w:pPr>
    <w:rPr>
      <w:rFonts w:ascii="Book Antiqua" w:hAnsi="Book Antiqua" w:cs="Book Antiqua"/>
      <w:b/>
      <w:spacing w:val="-2"/>
      <w:sz w:val="22"/>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FootnoteText">
    <w:name w:val="footnote text"/>
    <w:basedOn w:val="Normal"/>
    <w:pPr/>
    <w:rPr/>
  </w:style>
  <w:style w:type="paragraph" w:styleId="4SubPara">
    <w:name w:val="4SubPara"/>
    <w:basedOn w:val="Normal"/>
    <w:next w:val="Normal"/>
    <w:qFormat/>
    <w:pPr>
      <w:suppressAutoHyphens w:val="true"/>
      <w:spacing w:before="120" w:after="240"/>
      <w:jc w:val="both"/>
    </w:pPr>
    <w:rPr>
      <w:rFonts w:ascii="Book Antiqua" w:hAnsi="Book Antiqua" w:cs="Book Antiqua"/>
      <w:b/>
      <w:spacing w:val="0"/>
      <w:sz w:val="22"/>
    </w:rPr>
  </w:style>
  <w:style w:type="paragraph" w:styleId="3SubPara">
    <w:name w:val="3SubPara"/>
    <w:basedOn w:val="Normal"/>
    <w:next w:val="Normal"/>
    <w:qFormat/>
    <w:pPr>
      <w:suppressAutoHyphens w:val="true"/>
      <w:spacing w:before="120" w:after="240"/>
      <w:jc w:val="both"/>
    </w:pPr>
    <w:rPr>
      <w:rFonts w:ascii="Book Antiqua" w:hAnsi="Book Antiqua" w:cs="Book Antiqua"/>
      <w:b/>
      <w:spacing w:val="0"/>
      <w:sz w:val="28"/>
    </w:rPr>
  </w:style>
  <w:style w:type="paragraph" w:styleId="BodyText2">
    <w:name w:val="Body Text 2"/>
    <w:basedOn w:val="Normal"/>
    <w:qFormat/>
    <w:pPr>
      <w:jc w:val="both"/>
    </w:pPr>
    <w:rPr>
      <w:rFonts w:ascii="Book Antiqua" w:hAnsi="Book Antiqua" w:cs="Book Antiqua"/>
      <w:sz w:val="22"/>
    </w:rPr>
  </w:style>
  <w:style w:type="paragraph" w:styleId="BodyTextIndent">
    <w:name w:val="Body Text Indent"/>
    <w:basedOn w:val="Normal"/>
    <w:pPr>
      <w:spacing w:before="0" w:after="120"/>
      <w:ind w:hanging="0" w:start="1440" w:end="0"/>
      <w:jc w:val="both"/>
    </w:pPr>
    <w:rPr>
      <w:rFonts w:ascii="Book Antiqua" w:hAnsi="Book Antiqua" w:cs="Book Antiqua"/>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2001-02-25T22:50:00Z</dcterms:created>
  <dc:creator>Seabron Adamson</dc:creator>
  <dc:description/>
  <dc:language>en-CA</dc:language>
  <cp:lastModifiedBy>Seabron Adamson</cp:lastModifiedBy>
  <cp:lastPrinted>2000-11-20T16:07:00Z</cp:lastPrinted>
  <dcterms:modified xsi:type="dcterms:W3CDTF">2001-02-26T00:10:00Z</dcterms:modified>
  <cp:revision>9</cp:revision>
  <dc:subject/>
  <dc:title>Memo</dc:title>
</cp:coreProperties>
</file>