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spacing w:before="400" w:after="240"/>
        <w:jc w:val="end"/>
        <w:rPr>
          <w:rFonts w:ascii="Book Antiqua" w:hAnsi="Book Antiqua" w:cs="Book Antiqua"/>
          <w:sz w:val="22"/>
        </w:rPr>
      </w:pPr>
      <w:r>
        <w:rPr>
          <w:rFonts w:cs="Book Antiqua" w:ascii="Book Antiqua" w:hAnsi="Book Antiqua"/>
          <w:sz w:val="22"/>
        </w:rPr>
        <w:drawing>
          <wp:inline distT="0" distB="0" distL="0" distR="0">
            <wp:extent cx="1760220" cy="7226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0" t="-50" r="-20" b="-50"/>
                    <a:stretch>
                      <a:fillRect/>
                    </a:stretch>
                  </pic:blipFill>
                  <pic:spPr bwMode="auto">
                    <a:xfrm>
                      <a:off x="0" y="0"/>
                      <a:ext cx="1760220" cy="722630"/>
                    </a:xfrm>
                    <a:prstGeom prst="rect">
                      <a:avLst/>
                    </a:prstGeom>
                    <a:noFill/>
                  </pic:spPr>
                </pic:pic>
              </a:graphicData>
            </a:graphic>
          </wp:inline>
        </w:drawing>
      </w:r>
    </w:p>
    <w:p>
      <w:pPr>
        <w:pStyle w:val="Heading"/>
        <w:rPr>
          <w:rFonts w:ascii="Book Antiqua" w:hAnsi="Book Antiqua" w:cs="Book Antiqua"/>
          <w:sz w:val="22"/>
        </w:rPr>
      </w:pPr>
      <w:r>
        <w:rPr>
          <w:rFonts w:cs="Book Antiqua"/>
          <w:sz w:val="22"/>
        </w:rPr>
      </w:r>
    </w:p>
    <w:p>
      <w:pPr>
        <w:pStyle w:val="Heading"/>
        <w:rPr/>
      </w:pPr>
      <w:r>
        <w:rPr/>
        <w:t>Briefing material on market power/market manipulation in the California energy markets</w:t>
      </w:r>
    </w:p>
    <w:p>
      <w:pPr>
        <w:pStyle w:val="Normal"/>
        <w:rPr>
          <w:rFonts w:ascii="Book Antiqua" w:hAnsi="Book Antiqua" w:cs="Book Antiqua"/>
          <w:sz w:val="22"/>
        </w:rPr>
      </w:pPr>
      <w:r>
        <w:rPr>
          <w:rFonts w:cs="Book Antiqua" w:ascii="Book Antiqua" w:hAnsi="Book Antiqua"/>
          <w:sz w:val="22"/>
        </w:rPr>
      </w:r>
    </w:p>
    <w:p>
      <w:pPr>
        <w:pStyle w:val="Heading7"/>
        <w:spacing w:before="240" w:after="360"/>
        <w:ind w:hanging="0" w:start="0"/>
        <w:rPr/>
      </w:pPr>
      <w:r>
        <w:rPr/>
        <w:t xml:space="preserve">There is very limited consensus on the extent to which market manipulation played a role in creating the high price outcomes in California in the Summer 2000. </w:t>
      </w:r>
    </w:p>
    <w:p>
      <w:pPr>
        <w:pStyle w:val="Normal"/>
        <w:spacing w:before="0" w:after="240"/>
        <w:rPr>
          <w:i/>
          <w:i/>
          <w:iCs/>
          <w:sz w:val="22"/>
        </w:rPr>
      </w:pPr>
      <w:r>
        <w:rPr>
          <w:rFonts w:cs="Book Antiqua" w:ascii="Book Antiqua" w:hAnsi="Book Antiqua"/>
          <w:sz w:val="22"/>
        </w:rPr>
        <w:t xml:space="preserve">FERC defines market power as </w:t>
      </w:r>
      <w:r>
        <w:rPr>
          <w:rFonts w:cs="Book Antiqua" w:ascii="Book Antiqua" w:hAnsi="Book Antiqua"/>
          <w:i/>
          <w:iCs/>
          <w:sz w:val="22"/>
        </w:rPr>
        <w:t>“… the ability to withhold capacity or services, to foreclose input markets, or to raise rival firms’ costs in order to increase prices to consumers on a sustained basis without related increases in cost or value.”</w:t>
      </w:r>
      <w:r>
        <w:rPr>
          <w:rStyle w:val="FootnoteCharacters"/>
          <w:i/>
          <w:iCs/>
          <w:sz w:val="22"/>
        </w:rPr>
        <w:t xml:space="preserve"> </w:t>
      </w:r>
      <w:r>
        <w:rPr>
          <w:rStyle w:val="FootnoteCharacters"/>
          <w:rStyle w:val="FootnoteReference"/>
          <w:sz w:val="22"/>
        </w:rPr>
        <w:footnoteReference w:id="2"/>
      </w:r>
    </w:p>
    <w:p>
      <w:pPr>
        <w:pStyle w:val="4SubPara"/>
        <w:rPr/>
      </w:pPr>
      <w:r>
        <w:rPr/>
        <w:t>Federal Regulatory Commission</w:t>
      </w:r>
      <w:r>
        <w:rPr>
          <w:rStyle w:val="FootnoteCharacters"/>
          <w:rStyle w:val="FootnoteReference"/>
          <w:b/>
          <w:bCs/>
        </w:rPr>
        <w:footnoteReference w:id="3"/>
      </w:r>
      <w:r>
        <w:rPr/>
        <w:t xml:space="preserve"> </w:t>
      </w:r>
    </w:p>
    <w:p>
      <w:pPr>
        <w:pStyle w:val="BodyText2"/>
        <w:rPr/>
      </w:pPr>
      <w:r>
        <w:rPr/>
        <w:t>In its November 2000 review of bulk power markets and wholesale energy prices in California, FERC identified a number of structural and market flaws and proposed a range of short- to longer-term measures. FERC concluded:</w:t>
      </w:r>
      <w:r>
        <w:rPr>
          <w:rStyle w:val="FootnoteCharacters"/>
          <w:rStyle w:val="FootnoteReference"/>
        </w:rPr>
        <w:footnoteReference w:id="4"/>
      </w:r>
      <w:r>
        <w:rPr/>
        <w:t xml:space="preserve"> </w:t>
      </w:r>
    </w:p>
    <w:p>
      <w:pPr>
        <w:pStyle w:val="Normal"/>
        <w:spacing w:before="0" w:after="240"/>
        <w:ind w:start="360" w:end="360"/>
        <w:rPr>
          <w:rFonts w:ascii="Book Antiqua" w:hAnsi="Book Antiqua" w:cs="Book Antiqua"/>
          <w:i/>
          <w:i/>
          <w:iCs/>
          <w:sz w:val="22"/>
        </w:rPr>
      </w:pPr>
      <w:r>
        <w:rPr>
          <w:rFonts w:cs="Book Antiqua" w:ascii="Book Antiqua" w:hAnsi="Book Antiqua"/>
          <w:i/>
          <w:iCs/>
          <w:sz w:val="22"/>
        </w:rPr>
        <w:t>“…</w:t>
      </w:r>
      <w:r>
        <w:rPr>
          <w:rFonts w:eastAsia="Book Antiqua" w:cs="Book Antiqua" w:ascii="Book Antiqua" w:hAnsi="Book Antiqua"/>
          <w:i/>
          <w:iCs/>
          <w:sz w:val="22"/>
        </w:rPr>
        <w:t xml:space="preserve"> </w:t>
      </w:r>
      <w:r>
        <w:rPr>
          <w:rFonts w:cs="Book Antiqua" w:ascii="Book Antiqua" w:hAnsi="Book Antiqua"/>
          <w:i/>
          <w:iCs/>
          <w:sz w:val="22"/>
        </w:rPr>
        <w:t xml:space="preserve">that the electric market structure and market rules for wholesale sales of electric energy in California are seriously flawed and that these structures and rules, in conjunction with an imbalance of supply and demand in California, have caused, and continue to have the potential to cause, unjust and unreasonable rates for short-term energy ( Day-Ahead, Day-of, Ancillary Services and real-time energy sales) under certain conditions.” </w:t>
      </w:r>
    </w:p>
    <w:p>
      <w:pPr>
        <w:pStyle w:val="Normal"/>
        <w:spacing w:before="0" w:after="240"/>
        <w:ind w:end="360"/>
        <w:rPr>
          <w:rFonts w:ascii="Book Antiqua" w:hAnsi="Book Antiqua" w:cs="Book Antiqua"/>
          <w:sz w:val="22"/>
        </w:rPr>
      </w:pPr>
      <w:r>
        <w:rPr>
          <w:rFonts w:cs="Book Antiqua" w:ascii="Book Antiqua" w:hAnsi="Book Antiqua"/>
          <w:sz w:val="22"/>
        </w:rPr>
        <w:t>On the specific question of market power, FERC found:</w:t>
      </w:r>
    </w:p>
    <w:p>
      <w:pPr>
        <w:pStyle w:val="BodyText3"/>
        <w:ind w:start="360" w:end="360"/>
        <w:rPr/>
      </w:pPr>
      <w:r>
        <w:rPr/>
        <w:t>“</w:t>
      </w:r>
      <w:r>
        <w:rPr/>
        <w:t>While this record does not support findings of specific exercises of market power, and while we are not able to reach definite conclusions about the actions of individual sellers, there is clear evidence that the California market structure and rules provide the opportunity for sellers to exercise market power when supply is tight and can result in unjust and unreasonable rates under the FPA.”</w:t>
      </w:r>
    </w:p>
    <w:p>
      <w:pPr>
        <w:pStyle w:val="BodyText3"/>
        <w:ind w:end="360"/>
        <w:rPr>
          <w:i w:val="false"/>
          <w:i w:val="false"/>
          <w:iCs w:val="false"/>
        </w:rPr>
      </w:pPr>
      <w:r>
        <w:rPr>
          <w:i w:val="false"/>
          <w:iCs w:val="false"/>
        </w:rPr>
        <w:t xml:space="preserve">Given this finding, the FERC proposed the imposition of ‘soft’ price caps at a level of $150/MWh on generator bids. </w:t>
      </w:r>
    </w:p>
    <w:p>
      <w:pPr>
        <w:pStyle w:val="4SubPara"/>
        <w:rPr/>
      </w:pPr>
      <w:r>
        <w:rPr/>
        <w:t>California Power Exchange (CalPX)</w:t>
      </w:r>
    </w:p>
    <w:p>
      <w:pPr>
        <w:pStyle w:val="Normal"/>
        <w:spacing w:before="0" w:after="240"/>
        <w:rPr>
          <w:rFonts w:ascii="Book Antiqua" w:hAnsi="Book Antiqua" w:cs="Book Antiqua"/>
          <w:sz w:val="22"/>
        </w:rPr>
      </w:pPr>
      <w:r>
        <w:rPr>
          <w:rFonts w:cs="Book Antiqua" w:ascii="Book Antiqua" w:hAnsi="Book Antiqua"/>
          <w:sz w:val="22"/>
        </w:rPr>
        <w:t>The CalPX undertook a detailed review of supplier and demand bidding behavior in its markets to assess whether market power abuse led to high prices during the Summer 2000.</w:t>
      </w:r>
      <w:r>
        <w:rPr>
          <w:rStyle w:val="FootnoteCharacters"/>
          <w:rStyle w:val="FootnoteReference"/>
          <w:sz w:val="22"/>
        </w:rPr>
        <w:footnoteReference w:id="5"/>
      </w:r>
      <w:r>
        <w:rPr>
          <w:rFonts w:cs="Book Antiqua" w:ascii="Book Antiqua" w:hAnsi="Book Antiqua"/>
          <w:sz w:val="22"/>
        </w:rPr>
        <w:t xml:space="preserve"> It concluded that:</w:t>
      </w:r>
      <w:r>
        <w:rPr>
          <w:rStyle w:val="FootnoteCharacters"/>
          <w:sz w:val="22"/>
        </w:rPr>
        <w:t xml:space="preserve"> </w:t>
      </w:r>
      <w:r>
        <w:rPr>
          <w:rStyle w:val="FootnoteCharacters"/>
          <w:rStyle w:val="FootnoteReference"/>
          <w:sz w:val="22"/>
        </w:rPr>
        <w:footnoteReference w:id="6"/>
      </w:r>
    </w:p>
    <w:p>
      <w:pPr>
        <w:pStyle w:val="Normal"/>
        <w:spacing w:before="0" w:after="240"/>
        <w:ind w:start="360" w:end="540"/>
        <w:rPr>
          <w:rFonts w:ascii="Book Antiqua" w:hAnsi="Book Antiqua" w:cs="Book Antiqua"/>
          <w:i/>
          <w:i/>
          <w:iCs/>
          <w:sz w:val="22"/>
        </w:rPr>
      </w:pPr>
      <w:r>
        <w:rPr>
          <w:rFonts w:cs="Book Antiqua" w:ascii="Book Antiqua" w:hAnsi="Book Antiqua"/>
          <w:i/>
          <w:iCs/>
          <w:sz w:val="22"/>
        </w:rPr>
        <w:t>“…</w:t>
      </w:r>
      <w:r>
        <w:rPr>
          <w:rFonts w:eastAsia="Book Antiqua" w:cs="Book Antiqua" w:ascii="Book Antiqua" w:hAnsi="Book Antiqua"/>
          <w:i/>
          <w:iCs/>
          <w:sz w:val="22"/>
        </w:rPr>
        <w:t xml:space="preserve"> </w:t>
      </w:r>
      <w:r>
        <w:rPr>
          <w:rFonts w:cs="Book Antiqua" w:ascii="Book Antiqua" w:hAnsi="Book Antiqua"/>
          <w:i/>
          <w:iCs/>
          <w:sz w:val="22"/>
        </w:rPr>
        <w:t>during tight supply situations the potential for abuses of market power exists in the CalPX markets. The overall lack of adequate supply, … , definitely led to a sellers market where sellers could move easily among markets and secure the best possible price.”</w:t>
      </w:r>
    </w:p>
    <w:p>
      <w:pPr>
        <w:pStyle w:val="Normal"/>
        <w:spacing w:before="0" w:after="240"/>
        <w:rPr>
          <w:rFonts w:ascii="Book Antiqua" w:hAnsi="Book Antiqua" w:cs="Book Antiqua"/>
          <w:sz w:val="22"/>
        </w:rPr>
      </w:pPr>
      <w:r>
        <w:rPr>
          <w:rFonts w:cs="Book Antiqua" w:ascii="Book Antiqua" w:hAnsi="Book Antiqua"/>
          <w:sz w:val="22"/>
        </w:rPr>
        <w:t xml:space="preserve">However, the CalPX also highlighted that: </w:t>
      </w:r>
    </w:p>
    <w:p>
      <w:pPr>
        <w:pStyle w:val="Normal"/>
        <w:spacing w:before="0" w:after="240"/>
        <w:ind w:start="720" w:end="720"/>
        <w:rPr>
          <w:rFonts w:ascii="Book Antiqua" w:hAnsi="Book Antiqua" w:cs="Book Antiqua"/>
          <w:i/>
          <w:i/>
          <w:iCs/>
          <w:sz w:val="22"/>
        </w:rPr>
      </w:pPr>
      <w:r>
        <w:rPr>
          <w:rFonts w:cs="Book Antiqua" w:ascii="Book Antiqua" w:hAnsi="Book Antiqua"/>
          <w:i/>
          <w:iCs/>
          <w:sz w:val="22"/>
        </w:rPr>
        <w:t>“</w:t>
      </w:r>
      <w:r>
        <w:rPr>
          <w:rFonts w:cs="Book Antiqua" w:ascii="Book Antiqua" w:hAnsi="Book Antiqua"/>
          <w:i/>
          <w:iCs/>
          <w:sz w:val="22"/>
        </w:rPr>
        <w:t>No single category of Participants or individual Participant influenced prices on a consistent basis over all price ranges or times.”</w:t>
      </w:r>
    </w:p>
    <w:p>
      <w:pPr>
        <w:pStyle w:val="BodyText2"/>
        <w:rPr/>
      </w:pPr>
      <w:r>
        <w:rPr/>
        <w:t>The CalPX considered that – beyond economic fundamentals – two factors contributed to high prices in its Day-Ahead and Day-Of markets:</w:t>
      </w:r>
    </w:p>
    <w:p>
      <w:pPr>
        <w:pStyle w:val="ListBullet1"/>
        <w:numPr>
          <w:ilvl w:val="0"/>
          <w:numId w:val="4"/>
        </w:numPr>
        <w:tabs>
          <w:tab w:val="clear" w:pos="720"/>
          <w:tab w:val="left" w:pos="1440" w:leader="none"/>
        </w:tabs>
        <w:ind w:hanging="360" w:start="1440" w:end="0"/>
        <w:rPr/>
      </w:pPr>
      <w:r>
        <w:rPr/>
        <w:t>suppliers’ expectations that high prices would emerge in the Real-Time markets; and</w:t>
      </w:r>
    </w:p>
    <w:p>
      <w:pPr>
        <w:pStyle w:val="ListBullet1"/>
        <w:numPr>
          <w:ilvl w:val="0"/>
          <w:numId w:val="4"/>
        </w:numPr>
        <w:tabs>
          <w:tab w:val="clear" w:pos="720"/>
          <w:tab w:val="left" w:pos="1440" w:leader="none"/>
        </w:tabs>
        <w:ind w:hanging="360" w:start="1440" w:end="0"/>
        <w:rPr/>
      </w:pPr>
      <w:r>
        <w:rPr/>
        <w:t xml:space="preserve">inelastic demand, as well as under-scheduling of demand by the UDCs. </w:t>
      </w:r>
    </w:p>
    <w:p>
      <w:pPr>
        <w:pStyle w:val="4SubPara"/>
        <w:rPr/>
      </w:pPr>
      <w:r>
        <w:rPr/>
        <w:t xml:space="preserve">California Independent System Operator (CAISO) </w:t>
      </w:r>
    </w:p>
    <w:p>
      <w:pPr>
        <w:pStyle w:val="Normal"/>
        <w:spacing w:before="0" w:after="240"/>
        <w:rPr/>
      </w:pPr>
      <w:r>
        <w:rPr>
          <w:rFonts w:cs="Book Antiqua" w:ascii="Book Antiqua" w:hAnsi="Book Antiqua"/>
          <w:sz w:val="22"/>
        </w:rPr>
        <w:t>The CAISO’s position in respect of the abuse of market power has changed over time. Earlier documents allege the widespread abuse of market power, but recent statements have been more cautious. Most recently, the CAISO highlights unusually high summer demand, a doubling of gas prices, the absence of new generation capacity and the lack of demand responsiveness on the part of customers as key causes of high prices.</w:t>
      </w:r>
      <w:r>
        <w:rPr>
          <w:rStyle w:val="FootnoteCharacters"/>
          <w:rStyle w:val="FootnoteReference"/>
          <w:sz w:val="22"/>
        </w:rPr>
        <w:footnoteReference w:id="7"/>
      </w:r>
      <w:r>
        <w:rPr>
          <w:rFonts w:cs="Book Antiqua" w:ascii="Book Antiqua" w:hAnsi="Book Antiqua"/>
          <w:sz w:val="22"/>
        </w:rPr>
        <w:t xml:space="preserve"> In conclusion, statements made by the CAISO about the impact of market power on prices are ambiguous:</w:t>
      </w:r>
      <w:r>
        <w:rPr>
          <w:rStyle w:val="FootnoteCharacters"/>
          <w:rStyle w:val="FootnoteReference"/>
          <w:sz w:val="22"/>
        </w:rPr>
        <w:footnoteReference w:id="8"/>
      </w:r>
      <w:r>
        <w:rPr>
          <w:rFonts w:cs="Book Antiqua" w:ascii="Book Antiqua" w:hAnsi="Book Antiqua"/>
          <w:sz w:val="22"/>
        </w:rPr>
        <w:t xml:space="preserve"> </w:t>
      </w:r>
    </w:p>
    <w:p>
      <w:pPr>
        <w:pStyle w:val="BodyTextIndent"/>
        <w:ind w:hanging="0" w:start="720" w:end="720"/>
        <w:rPr/>
      </w:pPr>
      <w:r>
        <w:rPr/>
        <w:t>“</w:t>
      </w:r>
      <w:r>
        <w:rPr/>
        <w:t>The performance of the ISO markets over the past two years has shown that workable competition has existed for most hours of the year (i.e. for all but about 1 to 2% of total annual hours). During those hours, supply has been sufficient to cause competition among suppliers.”</w:t>
      </w:r>
    </w:p>
    <w:p>
      <w:pPr>
        <w:pStyle w:val="Normal"/>
        <w:spacing w:before="0" w:after="240"/>
        <w:ind w:start="720" w:end="720"/>
        <w:rPr>
          <w:rFonts w:ascii="Book Antiqua" w:hAnsi="Book Antiqua" w:cs="Book Antiqua"/>
          <w:i/>
          <w:i/>
          <w:iCs/>
          <w:sz w:val="22"/>
        </w:rPr>
      </w:pPr>
      <w:r>
        <w:rPr>
          <w:rFonts w:cs="Book Antiqua" w:ascii="Book Antiqua" w:hAnsi="Book Antiqua"/>
          <w:i/>
          <w:iCs/>
          <w:sz w:val="22"/>
        </w:rPr>
        <w:t>“</w:t>
      </w:r>
      <w:r>
        <w:rPr>
          <w:rFonts w:cs="Book Antiqua" w:ascii="Book Antiqua" w:hAnsi="Book Antiqua"/>
          <w:i/>
          <w:iCs/>
          <w:sz w:val="22"/>
        </w:rPr>
        <w:t>However, during high load hours, the combination of tight supply conditions and the limited ability of consumers to reduce consumption in response to prices creates the situation in which any firm that owns a significant share of the generation serving the state can exercise market power to inflate wholesale prices.”</w:t>
      </w:r>
    </w:p>
    <w:p>
      <w:pPr>
        <w:pStyle w:val="Normal"/>
        <w:spacing w:before="0" w:after="240"/>
        <w:rPr/>
      </w:pPr>
      <w:r>
        <w:rPr>
          <w:rFonts w:cs="Book Antiqua" w:ascii="Book Antiqua" w:hAnsi="Book Antiqua"/>
          <w:sz w:val="22"/>
        </w:rPr>
        <w:t>Other commentators such as Harvey &amp; Hogan, have highlighted that in particular earlier studies undertaken by the CAISO’s Market Surveillance Committee (MSC), which claim to identify market power are severely flawed.</w:t>
      </w:r>
      <w:r>
        <w:rPr>
          <w:rStyle w:val="FootnoteCharacters"/>
          <w:rStyle w:val="FootnoteReference"/>
          <w:sz w:val="22"/>
        </w:rPr>
        <w:footnoteReference w:id="9"/>
      </w:r>
      <w:r>
        <w:rPr>
          <w:rFonts w:cs="Book Antiqua" w:ascii="Book Antiqua" w:hAnsi="Book Antiqua"/>
          <w:sz w:val="22"/>
        </w:rPr>
        <w:t xml:space="preserve"> These studies relied on ‘benchmark’ estimates of competitive price levels as a basis for identifying market power and incorrectly assumed that: </w:t>
      </w:r>
    </w:p>
    <w:p>
      <w:pPr>
        <w:pStyle w:val="ListBullet1"/>
        <w:numPr>
          <w:ilvl w:val="0"/>
          <w:numId w:val="4"/>
        </w:numPr>
        <w:tabs>
          <w:tab w:val="clear" w:pos="720"/>
          <w:tab w:val="left" w:pos="1440" w:leader="none"/>
        </w:tabs>
        <w:ind w:hanging="360" w:start="1440" w:end="0"/>
        <w:rPr/>
      </w:pPr>
      <w:r>
        <w:rPr/>
        <w:t xml:space="preserve">the California energy markets could be operated without reserves; </w:t>
      </w:r>
    </w:p>
    <w:p>
      <w:pPr>
        <w:pStyle w:val="ListBullet1"/>
        <w:numPr>
          <w:ilvl w:val="0"/>
          <w:numId w:val="4"/>
        </w:numPr>
        <w:tabs>
          <w:tab w:val="clear" w:pos="720"/>
          <w:tab w:val="left" w:pos="1440" w:leader="none"/>
        </w:tabs>
        <w:ind w:hanging="360" w:start="1440" w:end="0"/>
        <w:rPr/>
      </w:pPr>
      <w:r>
        <w:rPr/>
        <w:t xml:space="preserve">there was no transmission congestion inside California; </w:t>
      </w:r>
    </w:p>
    <w:p>
      <w:pPr>
        <w:pStyle w:val="ListBullet1"/>
        <w:numPr>
          <w:ilvl w:val="0"/>
          <w:numId w:val="4"/>
        </w:numPr>
        <w:tabs>
          <w:tab w:val="clear" w:pos="720"/>
          <w:tab w:val="left" w:pos="1440" w:leader="none"/>
        </w:tabs>
        <w:ind w:hanging="360" w:start="1440" w:end="0"/>
        <w:rPr/>
      </w:pPr>
      <w:r>
        <w:rPr/>
        <w:t xml:space="preserve">generators did not need to recoup start-up costs; and </w:t>
      </w:r>
    </w:p>
    <w:p>
      <w:pPr>
        <w:pStyle w:val="ListBullet1"/>
        <w:numPr>
          <w:ilvl w:val="0"/>
          <w:numId w:val="4"/>
        </w:numPr>
        <w:tabs>
          <w:tab w:val="clear" w:pos="720"/>
          <w:tab w:val="left" w:pos="1440" w:leader="none"/>
        </w:tabs>
        <w:ind w:hanging="360" w:start="1440" w:end="0"/>
        <w:rPr/>
      </w:pPr>
      <w:r>
        <w:rPr/>
        <w:t xml:space="preserve">there were no scheduled outages or emissions restrictions and costs. </w:t>
      </w:r>
    </w:p>
    <w:p>
      <w:pPr>
        <w:pStyle w:val="4SubPara"/>
        <w:rPr/>
      </w:pPr>
      <w:r>
        <w:rPr/>
        <w:t>Harvey and Hogan</w:t>
      </w:r>
    </w:p>
    <w:p>
      <w:pPr>
        <w:pStyle w:val="Normal"/>
        <w:spacing w:before="0" w:after="240"/>
        <w:rPr/>
      </w:pPr>
      <w:r>
        <w:rPr>
          <w:rFonts w:cs="Book Antiqua" w:ascii="Book Antiqua" w:hAnsi="Book Antiqua"/>
          <w:sz w:val="22"/>
        </w:rPr>
        <w:t>Harvey &amp; Hogan attribute the high prices observed in the California energy markets in the Summer of 2000 to what they perceive to be market design flaws, rather than the exercise of market power. While they were unable to establish the absence of market power (the authors note the lack of access to relevant data), they also point to number of significant errors made by proponents of the ‘market power’ hypothesis:</w:t>
      </w:r>
      <w:r>
        <w:rPr>
          <w:rStyle w:val="FootnoteCharacters"/>
          <w:i/>
          <w:iCs/>
          <w:sz w:val="22"/>
        </w:rPr>
        <w:t xml:space="preserve"> </w:t>
      </w:r>
      <w:r>
        <w:rPr>
          <w:rStyle w:val="FootnoteCharacters"/>
          <w:rStyle w:val="FootnoteReference"/>
          <w:i/>
          <w:iCs/>
          <w:sz w:val="22"/>
        </w:rPr>
        <w:footnoteReference w:id="10"/>
      </w:r>
      <w:r>
        <w:rPr>
          <w:rFonts w:cs="Book Antiqua" w:ascii="Book Antiqua" w:hAnsi="Book Antiqua"/>
          <w:sz w:val="22"/>
        </w:rPr>
        <w:t xml:space="preserve"> </w:t>
      </w:r>
    </w:p>
    <w:p>
      <w:pPr>
        <w:pStyle w:val="Normal"/>
        <w:spacing w:before="0" w:after="240"/>
        <w:ind w:start="720" w:end="720"/>
        <w:rPr>
          <w:rFonts w:ascii="Book Antiqua" w:hAnsi="Book Antiqua" w:cs="Book Antiqua"/>
          <w:i/>
          <w:i/>
          <w:iCs/>
          <w:sz w:val="22"/>
        </w:rPr>
      </w:pPr>
      <w:r>
        <w:rPr>
          <w:rFonts w:cs="Book Antiqua" w:ascii="Book Antiqua" w:hAnsi="Book Antiqua"/>
          <w:i/>
          <w:iCs/>
          <w:sz w:val="22"/>
        </w:rPr>
        <w:t>“</w:t>
      </w:r>
      <w:r>
        <w:rPr>
          <w:rFonts w:cs="Book Antiqua" w:ascii="Book Antiqua" w:hAnsi="Book Antiqua"/>
          <w:i/>
          <w:iCs/>
          <w:sz w:val="22"/>
        </w:rPr>
        <w:t>It is noteworthy in considering the analysis of the exercise of market power that none of the studies to date has reported any direct data indicating that a significant number of generating units were held off line providing neither energy nor reserves during the high priced hours during June.”</w:t>
      </w:r>
    </w:p>
    <w:p>
      <w:pPr>
        <w:pStyle w:val="Normal"/>
        <w:spacing w:before="0" w:after="240"/>
        <w:rPr>
          <w:rFonts w:ascii="Book Antiqua" w:hAnsi="Book Antiqua" w:cs="Book Antiqua"/>
          <w:sz w:val="22"/>
        </w:rPr>
      </w:pPr>
      <w:r>
        <w:rPr>
          <w:rFonts w:cs="Book Antiqua" w:ascii="Book Antiqua" w:hAnsi="Book Antiqua"/>
          <w:sz w:val="22"/>
        </w:rPr>
        <w:t>Harvey &amp; Hogan identify the following factors contributing to high prices:</w:t>
      </w:r>
    </w:p>
    <w:p>
      <w:pPr>
        <w:pStyle w:val="ListBullet1"/>
        <w:numPr>
          <w:ilvl w:val="0"/>
          <w:numId w:val="4"/>
        </w:numPr>
        <w:tabs>
          <w:tab w:val="clear" w:pos="720"/>
          <w:tab w:val="left" w:pos="1440" w:leader="none"/>
        </w:tabs>
        <w:ind w:hanging="360" w:start="1440" w:end="0"/>
        <w:rPr/>
      </w:pPr>
      <w:r>
        <w:rPr/>
        <w:t>distortionary policies on the part of the CAISO, such as the CAISO’s ‘rational buyer protocol’ in the ancillary services markets; and</w:t>
      </w:r>
    </w:p>
    <w:p>
      <w:pPr>
        <w:pStyle w:val="ListBullet1"/>
        <w:numPr>
          <w:ilvl w:val="0"/>
          <w:numId w:val="4"/>
        </w:numPr>
        <w:tabs>
          <w:tab w:val="clear" w:pos="720"/>
          <w:tab w:val="left" w:pos="1440" w:leader="none"/>
        </w:tabs>
        <w:ind w:hanging="360" w:start="1440" w:end="0"/>
        <w:rPr/>
      </w:pPr>
      <w:r>
        <w:rPr/>
        <w:t xml:space="preserve">the fact that real-time out-of-market purchases are not subject to price caps. </w:t>
      </w:r>
    </w:p>
    <w:p>
      <w:pPr>
        <w:pStyle w:val="4SubPara"/>
        <w:rPr/>
      </w:pPr>
      <w:r>
        <w:rPr/>
        <w:t>Joskow and Kahn</w:t>
      </w:r>
      <w:r>
        <w:rPr>
          <w:rStyle w:val="FootnoteCharacters"/>
          <w:rStyle w:val="FootnoteReference"/>
          <w:b/>
          <w:bCs/>
        </w:rPr>
        <w:footnoteReference w:id="11"/>
      </w:r>
    </w:p>
    <w:p>
      <w:pPr>
        <w:pStyle w:val="Normal"/>
        <w:spacing w:before="0" w:after="240"/>
        <w:rPr/>
      </w:pPr>
      <w:r>
        <w:rPr>
          <w:rFonts w:cs="Book Antiqua" w:ascii="Book Antiqua" w:hAnsi="Book Antiqua"/>
          <w:sz w:val="22"/>
        </w:rPr>
        <w:t>Joskow &amp; Kahn claim to have identified substantial indications of the abuse of generator market power in California in the Summer 2000:</w:t>
      </w:r>
      <w:r>
        <w:rPr>
          <w:rStyle w:val="FootnoteCharacters"/>
          <w:i/>
          <w:iCs/>
          <w:sz w:val="22"/>
        </w:rPr>
        <w:t xml:space="preserve"> </w:t>
      </w:r>
      <w:r>
        <w:rPr>
          <w:rStyle w:val="FootnoteCharacters"/>
          <w:rStyle w:val="FootnoteReference"/>
          <w:i/>
          <w:iCs/>
          <w:sz w:val="22"/>
        </w:rPr>
        <w:footnoteReference w:id="12"/>
      </w:r>
      <w:r>
        <w:rPr>
          <w:rFonts w:cs="Book Antiqua" w:ascii="Book Antiqua" w:hAnsi="Book Antiqua"/>
          <w:sz w:val="22"/>
        </w:rPr>
        <w:t xml:space="preserve"> </w:t>
      </w:r>
    </w:p>
    <w:p>
      <w:pPr>
        <w:pStyle w:val="Normal"/>
        <w:spacing w:before="0" w:after="240"/>
        <w:ind w:start="720" w:end="720"/>
        <w:rPr>
          <w:rFonts w:ascii="Book Antiqua" w:hAnsi="Book Antiqua" w:cs="Book Antiqua"/>
          <w:i/>
          <w:i/>
          <w:iCs/>
          <w:sz w:val="22"/>
        </w:rPr>
      </w:pPr>
      <w:r>
        <w:rPr>
          <w:rFonts w:cs="Book Antiqua" w:ascii="Book Antiqua" w:hAnsi="Book Antiqua"/>
          <w:i/>
          <w:iCs/>
          <w:sz w:val="22"/>
        </w:rPr>
        <w:t>“</w:t>
      </w:r>
      <w:r>
        <w:rPr>
          <w:rFonts w:cs="Book Antiqua" w:ascii="Book Antiqua" w:hAnsi="Book Antiqua"/>
          <w:i/>
          <w:iCs/>
          <w:sz w:val="22"/>
        </w:rPr>
        <w:t>We find that actual wholesale market prices far exceed competitive benchmark prices that reflect this summer's natural gas price, demand, and import conditions.”</w:t>
      </w:r>
    </w:p>
    <w:p>
      <w:pPr>
        <w:pStyle w:val="Normal"/>
        <w:spacing w:before="0" w:after="240"/>
        <w:ind w:start="720" w:end="720"/>
        <w:rPr>
          <w:rFonts w:ascii="Book Antiqua" w:hAnsi="Book Antiqua" w:cs="Book Antiqua"/>
          <w:i/>
          <w:i/>
          <w:iCs/>
          <w:sz w:val="22"/>
        </w:rPr>
      </w:pPr>
      <w:r>
        <w:rPr>
          <w:rFonts w:cs="Book Antiqua" w:ascii="Book Antiqua" w:hAnsi="Book Antiqua"/>
          <w:i/>
          <w:iCs/>
          <w:sz w:val="22"/>
        </w:rPr>
        <w:t>“</w:t>
      </w:r>
      <w:r>
        <w:rPr>
          <w:rFonts w:cs="Book Antiqua" w:ascii="Book Antiqua" w:hAnsi="Book Antiqua"/>
          <w:i/>
          <w:iCs/>
          <w:sz w:val="22"/>
        </w:rPr>
        <w:t>After taking all of these factors into account -- higher gas prices, higher loads in California, reduced imports, and higher NOx RTC prices -- our analysis leads us to conclude that truly competitive prices in the California electricity market would have been substantially lower than those observed this past summer.”</w:t>
      </w:r>
    </w:p>
    <w:p>
      <w:pPr>
        <w:pStyle w:val="Normal"/>
        <w:spacing w:before="0" w:after="240"/>
        <w:rPr>
          <w:rFonts w:ascii="Book Antiqua" w:hAnsi="Book Antiqua" w:cs="Book Antiqua"/>
          <w:sz w:val="22"/>
        </w:rPr>
      </w:pPr>
      <w:r>
        <w:rPr>
          <w:rFonts w:cs="Book Antiqua" w:ascii="Book Antiqua" w:hAnsi="Book Antiqua"/>
          <w:sz w:val="22"/>
        </w:rPr>
        <w:t xml:space="preserve">However, while Joskow &amp; Kahn incorporate recent trends in natural gas and emissions prices, they essentially adopt the same approach as that undertaken in earlier CAISO studies and their conclusions suffers from the same fundamental defects. In particular, Joskow &amp; Kahn ignore: </w:t>
      </w:r>
    </w:p>
    <w:p>
      <w:pPr>
        <w:pStyle w:val="ListBullet1"/>
        <w:numPr>
          <w:ilvl w:val="0"/>
          <w:numId w:val="4"/>
        </w:numPr>
        <w:tabs>
          <w:tab w:val="clear" w:pos="720"/>
          <w:tab w:val="left" w:pos="1440" w:leader="none"/>
        </w:tabs>
        <w:ind w:hanging="360" w:start="1440" w:end="0"/>
        <w:rPr/>
      </w:pPr>
      <w:r>
        <w:rPr/>
        <w:t xml:space="preserve">legitimate opportunity cost calculations that result from arbitrage between markets, as well as sequential market dynamics; and </w:t>
      </w:r>
    </w:p>
    <w:p>
      <w:pPr>
        <w:pStyle w:val="ListBullet1"/>
        <w:numPr>
          <w:ilvl w:val="0"/>
          <w:numId w:val="4"/>
        </w:numPr>
        <w:tabs>
          <w:tab w:val="clear" w:pos="720"/>
          <w:tab w:val="left" w:pos="1440" w:leader="none"/>
        </w:tabs>
        <w:ind w:hanging="360" w:start="1440" w:end="0"/>
        <w:rPr/>
      </w:pPr>
      <w:r>
        <w:rPr/>
        <w:t xml:space="preserve">scheduled outages, which continue to have a big impact on California market prices. </w:t>
      </w:r>
    </w:p>
    <w:p>
      <w:pPr>
        <w:pStyle w:val="Heading7"/>
        <w:spacing w:before="240" w:after="360"/>
        <w:ind w:hanging="0" w:start="0"/>
        <w:rPr/>
      </w:pPr>
      <w:r>
        <w:rPr/>
        <w:t>UDCs have engaged in price-manipulation (-discrimination) by systematically under-scheduling loads in the advance markets.</w:t>
      </w:r>
    </w:p>
    <w:p>
      <w:pPr>
        <w:pStyle w:val="Normal"/>
        <w:spacing w:before="0" w:after="240"/>
        <w:rPr/>
      </w:pPr>
      <w:r>
        <w:rPr>
          <w:rFonts w:cs="Book Antiqua" w:ascii="Book Antiqua" w:hAnsi="Book Antiqua"/>
          <w:sz w:val="22"/>
        </w:rPr>
        <w:t>Significant under-scheduling of loads in the Day-Ahead by UDCs has been widely noted. In the course of 2000, UDCs frequently purchased more than 10% of their served load in the real-time market, and the CAISO noted that under-scheduling is particularly evident when system load is greater than 35,000 MW.</w:t>
      </w:r>
      <w:r>
        <w:rPr>
          <w:rStyle w:val="FootnoteCharacters"/>
          <w:rStyle w:val="FootnoteReference"/>
          <w:sz w:val="22"/>
        </w:rPr>
        <w:footnoteReference w:id="13"/>
      </w:r>
      <w:r>
        <w:rPr>
          <w:rFonts w:cs="Book Antiqua" w:ascii="Book Antiqua" w:hAnsi="Book Antiqua"/>
          <w:sz w:val="22"/>
        </w:rPr>
        <w:t xml:space="preserve"> </w:t>
      </w:r>
    </w:p>
    <w:p>
      <w:pPr>
        <w:pStyle w:val="Normal"/>
        <w:spacing w:before="0" w:after="240"/>
        <w:rPr>
          <w:rFonts w:ascii="Book Antiqua" w:hAnsi="Book Antiqua" w:cs="Book Antiqua"/>
          <w:sz w:val="22"/>
        </w:rPr>
      </w:pPr>
      <w:r>
        <w:rPr>
          <w:rFonts w:cs="Book Antiqua" w:ascii="Book Antiqua" w:hAnsi="Book Antiqua"/>
          <w:sz w:val="22"/>
        </w:rPr>
        <w:t>At least in part, under-scheduling reflects UDCs’ ability to price-discriminate between sequential markets. There were incentives to under-schedule arising from the combined effects of the rate freeze and the dominant size of the UDCs. The rate freeze encourages the UDCs to minimize their total energy purchase costs, as this maximizes stranded cost recovery. In fact, the size of the UDCs (in relation to the market) resulted in purchasing decisions akin to those faced by a monopsonist, in which the cost of purchasing an additional unit not only incurs a direct cost, but also raises the price paid on all other units. By shifting loads between markets, larger purchasers, such as the UDCs, could achieve outcomes with higher Real-Time prices in return for price reductions in the day-ahead market.</w:t>
      </w:r>
    </w:p>
    <w:p>
      <w:pPr>
        <w:pStyle w:val="Heading7"/>
        <w:spacing w:before="240" w:after="360"/>
        <w:ind w:hanging="0" w:start="0"/>
        <w:rPr/>
      </w:pPr>
      <w:r>
        <w:rPr/>
        <w:t xml:space="preserve">Current US anti-trust law does not prohibit unilateral withholding and pricing activities by suppliers. It appears to contradict FERC’s ‘just and reasonable’ standard. </w:t>
      </w:r>
    </w:p>
    <w:p>
      <w:pPr>
        <w:pStyle w:val="Normal"/>
        <w:spacing w:before="0" w:after="240"/>
        <w:rPr>
          <w:rFonts w:ascii="Book Antiqua" w:hAnsi="Book Antiqua" w:cs="Book Antiqua"/>
          <w:sz w:val="22"/>
        </w:rPr>
      </w:pPr>
      <w:r>
        <w:rPr>
          <w:rFonts w:cs="Book Antiqua" w:ascii="Book Antiqua" w:hAnsi="Book Antiqua"/>
          <w:sz w:val="22"/>
        </w:rPr>
        <w:t xml:space="preserve">The various studies referenced above focus on economists’ definitions of market power. This is distinct from the legal question of what activities are prohibited under U.S. antitrust legislation, especially Section 1 of the Sherman Act. </w:t>
      </w:r>
    </w:p>
    <w:p>
      <w:pPr>
        <w:pStyle w:val="BodyText2"/>
        <w:rPr/>
      </w:pPr>
      <w:r>
        <w:rPr/>
        <w:t xml:space="preserve">The existence or exercise of market power is not in itself prohibited. In particular, simple above-cost bidding by marginal producers is not prohibited under antitrust law, nor are interdependent pricing decisions based on the expected behavior of others. It is only behavior that constitutes an agreement, either implied or explicit, that is prohibited by law. This antitrust standard varies from competitive standards applied by market monitoring bodies, such as the CAISO and the ‘just and reasonable’ test applied by FERC. </w:t>
      </w:r>
    </w:p>
    <w:p>
      <w:pPr>
        <w:pStyle w:val="BodyText"/>
        <w:spacing w:before="0" w:after="240"/>
        <w:rPr>
          <w:rFonts w:ascii="Book Antiqua" w:hAnsi="Book Antiqua" w:cs="Book Antiqua"/>
          <w:sz w:val="22"/>
        </w:rPr>
      </w:pPr>
      <w:r>
        <w:rPr>
          <w:rFonts w:cs="Book Antiqua" w:ascii="Book Antiqua" w:hAnsi="Book Antiqua"/>
          <w:sz w:val="22"/>
        </w:rPr>
        <w:t xml:space="preserve">Under current antitrust law principles, the behavior of competitors is important, not the prices that are produced. In the absence of prohibited agreements between producers, tacit or explicit, market pricing outcomes are generally acceptable, whether or not they diverge from those expected under perfect competition. US antitrust law does not prohibit unilaterally raising bids to increase market clearing prices during peak hours. </w:t>
      </w:r>
    </w:p>
    <w:p>
      <w:pPr>
        <w:pStyle w:val="BodyText"/>
        <w:spacing w:before="0" w:after="240"/>
        <w:rPr>
          <w:rFonts w:ascii="Book Antiqua" w:hAnsi="Book Antiqua" w:cs="Book Antiqua"/>
          <w:sz w:val="22"/>
        </w:rPr>
      </w:pPr>
      <w:r>
        <w:rPr>
          <w:rFonts w:cs="Book Antiqua" w:ascii="Book Antiqua" w:hAnsi="Book Antiqua"/>
          <w:sz w:val="22"/>
        </w:rPr>
        <w:t xml:space="preserve">Standard antitrust law then focuses on certain types of prohibited behaviors, independent of price outcomes. This contrasts with FERC’s emphasis on the concept of ‘just and reasonable’ power rates, most recently in its November 2000 order. Under section 206(a) of the FPA, if FERC finds that any rate or charge ‘is unjust, unreasonable, unduly discriminatory or preferential’, FERC shall determine the just and reasonable rate and shall fix this by order. </w:t>
      </w:r>
    </w:p>
    <w:p>
      <w:pPr>
        <w:pStyle w:val="BodyText"/>
        <w:spacing w:before="0" w:after="240"/>
        <w:rPr/>
      </w:pPr>
      <w:r>
        <w:rPr>
          <w:rFonts w:cs="Book Antiqua" w:ascii="Book Antiqua" w:hAnsi="Book Antiqua"/>
          <w:sz w:val="22"/>
        </w:rPr>
        <w:t>This is also the standard applied by various ISO regulatory bodies across US markets, including the CAISO. For instance, the reasoning used by the MSC in arguing for the extension of price capping authority was based on an interpretation of Sections 205 and 206 of the FPA.</w:t>
      </w:r>
      <w:r>
        <w:rPr>
          <w:rStyle w:val="FootnoteCharacters"/>
          <w:rStyle w:val="FootnoteReference"/>
          <w:sz w:val="22"/>
        </w:rPr>
        <w:footnoteReference w:id="14"/>
      </w:r>
      <w:r>
        <w:rPr>
          <w:rFonts w:cs="Book Antiqua" w:ascii="Book Antiqua" w:hAnsi="Book Antiqua"/>
          <w:sz w:val="22"/>
        </w:rPr>
        <w:t xml:space="preserve"> The MSC noted that the courts have held that </w:t>
      </w:r>
      <w:r>
        <w:rPr>
          <w:rFonts w:cs="Book Antiqua" w:ascii="Book Antiqua" w:hAnsi="Book Antiqua"/>
          <w:i/>
          <w:iCs/>
          <w:sz w:val="22"/>
        </w:rPr>
        <w:t xml:space="preserve">“Under the statutory standard of ‘just and reasonable’ it is the result reached, not the method employed, which is controlling”. </w:t>
      </w:r>
      <w:r>
        <w:rPr>
          <w:rFonts w:cs="Book Antiqua" w:ascii="Book Antiqua" w:hAnsi="Book Antiqua"/>
          <w:sz w:val="22"/>
        </w:rPr>
        <w:t>Under this doctrine, generators in a market with any deviation from perfect competition could presumably be denied market-based rates, as the standard for allowing such rates is the absence of any meaningful market power.</w:t>
      </w:r>
    </w:p>
    <w:p>
      <w:pPr>
        <w:pStyle w:val="BodyText"/>
        <w:spacing w:before="0" w:after="240"/>
        <w:rPr>
          <w:rFonts w:ascii="Book Antiqua" w:hAnsi="Book Antiqua" w:cs="Book Antiqua"/>
          <w:sz w:val="22"/>
        </w:rPr>
      </w:pPr>
      <w:r>
        <w:rPr>
          <w:rFonts w:cs="Book Antiqua" w:ascii="Book Antiqua" w:hAnsi="Book Antiqua"/>
          <w:sz w:val="22"/>
        </w:rPr>
      </w:r>
    </w:p>
    <w:sectPr>
      <w:headerReference w:type="default" r:id="rId3"/>
      <w:headerReference w:type="first" r:id="rId4"/>
      <w:footerReference w:type="default" r:id="rId5"/>
      <w:footerReference w:type="first" r:id="rId6"/>
      <w:footnotePr>
        <w:numFmt w:val="decimal"/>
      </w:footnotePr>
      <w:type w:val="nextPage"/>
      <w:pgSz w:w="12240" w:h="15840"/>
      <w:pgMar w:left="1800" w:right="1800" w:gutter="0" w:header="960" w:top="1440" w:footer="9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uppressAutoHyphens w:val="true"/>
        <w:spacing w:before="0" w:after="240"/>
        <w:ind w:hanging="720" w:start="720" w:end="0"/>
        <w:jc w:val="both"/>
        <w:rPr/>
      </w:pPr>
      <w:r>
        <w:rPr>
          <w:rStyle w:val="FootnoteCharacters"/>
        </w:rPr>
        <w:footnoteRef/>
      </w:r>
      <w:r>
        <w:rPr/>
        <w:t xml:space="preserve"> </w:t>
      </w:r>
      <w:r>
        <w:rPr/>
        <w:tab/>
        <w:t>Federal Energy Regulatory Commission. March 2000. “State of the Markets 2000: Measuring Performance in Energy Market Regulation”. P. 33.</w:t>
      </w:r>
    </w:p>
  </w:footnote>
  <w:footnote w:id="3">
    <w:p>
      <w:pPr>
        <w:pStyle w:val="FootnoteText"/>
        <w:suppressAutoHyphens w:val="true"/>
        <w:spacing w:before="0" w:after="240"/>
        <w:ind w:hanging="720" w:start="720" w:end="0"/>
        <w:jc w:val="both"/>
        <w:rPr/>
      </w:pPr>
      <w:r>
        <w:rPr>
          <w:rStyle w:val="FootnoteCharacters"/>
        </w:rPr>
        <w:footnoteRef/>
      </w:r>
      <w:r>
        <w:rPr/>
        <w:t xml:space="preserve"> </w:t>
      </w:r>
      <w:r>
        <w:rPr/>
        <w:tab/>
        <w:t xml:space="preserve">Federal Energy Regulatory Commission. November 1, 2000. “Market Order Proposing Remedies for California Wholesale Electric Markets”. </w:t>
      </w:r>
    </w:p>
  </w:footnote>
  <w:footnote w:id="4">
    <w:p>
      <w:pPr>
        <w:pStyle w:val="FootnoteText"/>
        <w:suppressAutoHyphens w:val="true"/>
        <w:spacing w:before="0" w:after="240"/>
        <w:ind w:hanging="720" w:start="720" w:end="0"/>
        <w:jc w:val="both"/>
        <w:rPr/>
      </w:pPr>
      <w:r>
        <w:rPr>
          <w:rStyle w:val="FootnoteCharacters"/>
        </w:rPr>
        <w:footnoteRef/>
      </w:r>
      <w:r>
        <w:rPr/>
        <w:t xml:space="preserve"> </w:t>
      </w:r>
      <w:r>
        <w:rPr/>
        <w:tab/>
        <w:t xml:space="preserve">Federal Energy Regulatory Commission. November 2000. P. 3. </w:t>
      </w:r>
    </w:p>
  </w:footnote>
  <w:footnote w:id="5">
    <w:p>
      <w:pPr>
        <w:pStyle w:val="FootnoteText"/>
        <w:suppressAutoHyphens w:val="true"/>
        <w:spacing w:before="0" w:after="240"/>
        <w:ind w:hanging="720" w:start="720" w:end="0"/>
        <w:jc w:val="both"/>
        <w:rPr/>
      </w:pPr>
      <w:r>
        <w:rPr>
          <w:rStyle w:val="FootnoteCharacters"/>
        </w:rPr>
        <w:footnoteRef/>
      </w:r>
      <w:r>
        <w:rPr/>
        <w:t xml:space="preserve"> </w:t>
      </w:r>
      <w:r>
        <w:rPr/>
        <w:tab/>
        <w:t xml:space="preserve">California Power Exchange. November 1, 2000. “Price Movements in California Power Exchange markets, Analysis of Price activity: May-September 2000”. </w:t>
      </w:r>
    </w:p>
  </w:footnote>
  <w:footnote w:id="6">
    <w:p>
      <w:pPr>
        <w:pStyle w:val="FootnoteText"/>
        <w:suppressAutoHyphens w:val="true"/>
        <w:spacing w:before="0" w:after="240"/>
        <w:ind w:hanging="720" w:start="720" w:end="0"/>
        <w:jc w:val="both"/>
        <w:rPr/>
      </w:pPr>
      <w:r>
        <w:rPr>
          <w:rStyle w:val="FootnoteCharacters"/>
        </w:rPr>
        <w:footnoteRef/>
      </w:r>
      <w:r>
        <w:rPr/>
        <w:t xml:space="preserve"> </w:t>
      </w:r>
      <w:r>
        <w:rPr/>
        <w:tab/>
        <w:t>PX, October 2000, P.8.</w:t>
      </w:r>
    </w:p>
  </w:footnote>
  <w:footnote w:id="7">
    <w:p>
      <w:pPr>
        <w:pStyle w:val="FootnoteText"/>
        <w:suppressAutoHyphens w:val="true"/>
        <w:spacing w:before="0" w:after="240"/>
        <w:ind w:hanging="720" w:start="720" w:end="0"/>
        <w:jc w:val="both"/>
        <w:rPr/>
      </w:pPr>
      <w:r>
        <w:rPr>
          <w:rStyle w:val="FootnoteCharacters"/>
        </w:rPr>
        <w:footnoteRef/>
      </w:r>
      <w:r>
        <w:rPr/>
        <w:t xml:space="preserve"> </w:t>
      </w:r>
      <w:r>
        <w:rPr/>
        <w:tab/>
        <w:t xml:space="preserve">California Independent System Operator, Department of Market Analysis. August 10, 2000. “Report on California Energy Market, Issues and Performance: May-June, 2000, Special Report”. </w:t>
      </w:r>
    </w:p>
  </w:footnote>
  <w:footnote w:id="8">
    <w:p>
      <w:pPr>
        <w:pStyle w:val="FootnoteText"/>
        <w:suppressAutoHyphens w:val="true"/>
        <w:spacing w:before="0" w:after="240"/>
        <w:ind w:hanging="720" w:start="720" w:end="0"/>
        <w:jc w:val="both"/>
        <w:rPr/>
      </w:pPr>
      <w:r>
        <w:rPr>
          <w:rStyle w:val="FootnoteCharacters"/>
        </w:rPr>
        <w:footnoteRef/>
      </w:r>
      <w:r>
        <w:rPr/>
        <w:t xml:space="preserve"> </w:t>
      </w:r>
      <w:r>
        <w:rPr/>
        <w:tab/>
        <w:t>California Independent System Operator. P. 2.</w:t>
      </w:r>
    </w:p>
  </w:footnote>
  <w:footnote w:id="9">
    <w:p>
      <w:pPr>
        <w:pStyle w:val="FootnoteText"/>
        <w:suppressAutoHyphens w:val="true"/>
        <w:spacing w:before="0" w:after="240"/>
        <w:ind w:hanging="720" w:start="720" w:end="0"/>
        <w:jc w:val="both"/>
        <w:rPr/>
      </w:pPr>
      <w:r>
        <w:rPr>
          <w:rStyle w:val="FootnoteCharacters"/>
        </w:rPr>
        <w:footnoteRef/>
      </w:r>
      <w:r>
        <w:rPr/>
        <w:t xml:space="preserve"> </w:t>
      </w:r>
      <w:r>
        <w:rPr/>
        <w:tab/>
        <w:t xml:space="preserve">Harvey, Scott, and William W. Hogan. October 27, 2000. “Issues in the Analysis of Market Power in California”. </w:t>
      </w:r>
    </w:p>
  </w:footnote>
  <w:footnote w:id="10">
    <w:p>
      <w:pPr>
        <w:pStyle w:val="FootnoteText"/>
        <w:suppressAutoHyphens w:val="true"/>
        <w:spacing w:before="0" w:after="240"/>
        <w:ind w:hanging="720" w:start="720" w:end="0"/>
        <w:jc w:val="both"/>
        <w:rPr/>
      </w:pPr>
      <w:r>
        <w:rPr>
          <w:rStyle w:val="FootnoteCharacters"/>
        </w:rPr>
        <w:footnoteRef/>
      </w:r>
      <w:r>
        <w:rPr/>
        <w:t xml:space="preserve"> </w:t>
      </w:r>
      <w:r>
        <w:rPr/>
        <w:tab/>
        <w:t>Harvey and Hogan. P. 2.</w:t>
      </w:r>
    </w:p>
  </w:footnote>
  <w:footnote w:id="11">
    <w:p>
      <w:pPr>
        <w:pStyle w:val="FootnoteText"/>
        <w:suppressAutoHyphens w:val="true"/>
        <w:spacing w:before="0" w:after="240"/>
        <w:ind w:hanging="720" w:start="720" w:end="0"/>
        <w:jc w:val="both"/>
        <w:rPr/>
      </w:pPr>
      <w:r>
        <w:rPr>
          <w:rStyle w:val="FootnoteCharacters"/>
        </w:rPr>
        <w:footnoteRef/>
      </w:r>
      <w:r>
        <w:rPr/>
        <w:t xml:space="preserve"> </w:t>
      </w:r>
      <w:r>
        <w:rPr/>
        <w:tab/>
        <w:t xml:space="preserve">Joskow, Paul, and Edward Kahn. November 21, 2000. “A Quantitative Analysis of Pricing Behavior In California’s Wholesale Electricity Market During Summer 2000. </w:t>
      </w:r>
    </w:p>
  </w:footnote>
  <w:footnote w:id="12">
    <w:p>
      <w:pPr>
        <w:pStyle w:val="FootnoteText"/>
        <w:suppressAutoHyphens w:val="true"/>
        <w:spacing w:before="0" w:after="240"/>
        <w:ind w:hanging="720" w:start="720" w:end="0"/>
        <w:jc w:val="both"/>
        <w:rPr/>
      </w:pPr>
      <w:r>
        <w:rPr>
          <w:rStyle w:val="FootnoteCharacters"/>
        </w:rPr>
        <w:footnoteRef/>
      </w:r>
      <w:r>
        <w:rPr/>
        <w:t xml:space="preserve"> </w:t>
      </w:r>
      <w:r>
        <w:rPr/>
        <w:tab/>
        <w:t>Joskow &amp; Kahn. P. 1-2.</w:t>
      </w:r>
    </w:p>
  </w:footnote>
  <w:footnote w:id="13">
    <w:p>
      <w:pPr>
        <w:pStyle w:val="FootnoteText"/>
        <w:suppressAutoHyphens w:val="true"/>
        <w:spacing w:before="0" w:after="240"/>
        <w:ind w:hanging="720" w:start="720" w:end="0"/>
        <w:jc w:val="both"/>
        <w:rPr/>
      </w:pPr>
      <w:r>
        <w:rPr>
          <w:rStyle w:val="FootnoteCharacters"/>
        </w:rPr>
        <w:footnoteRef/>
      </w:r>
      <w:r>
        <w:rPr/>
        <w:t xml:space="preserve"> </w:t>
      </w:r>
      <w:r>
        <w:rPr/>
        <w:tab/>
        <w:t>Department of Market Analysis, CAISO. August 10, 2000. “Report on California Energy Market, Issues and Performance: May-June, 2000”, Special Report. P. 37.</w:t>
      </w:r>
    </w:p>
  </w:footnote>
  <w:footnote w:id="14">
    <w:p>
      <w:pPr>
        <w:pStyle w:val="FootnoteText"/>
        <w:suppressAutoHyphens w:val="true"/>
        <w:spacing w:before="0" w:after="240"/>
        <w:ind w:hanging="720" w:start="720" w:end="0"/>
        <w:jc w:val="both"/>
        <w:rPr/>
      </w:pPr>
      <w:r>
        <w:rPr>
          <w:rStyle w:val="FootnoteCharacters"/>
        </w:rPr>
        <w:footnoteRef/>
      </w:r>
      <w:r>
        <w:rPr/>
        <w:t xml:space="preserve"> </w:t>
      </w:r>
      <w:r>
        <w:rPr/>
        <w:tab/>
        <w:t>Market Surveillance Committee of the California Independent System Operator, “Report on Redesign of California Real-Time Energy and Ancillary Services Markets”, chaired by Frank A. Wolak, October 18</w:t>
      </w:r>
      <w:r>
        <w:rPr>
          <w:vertAlign w:val="superscript"/>
        </w:rPr>
        <w:t>th</w:t>
      </w:r>
      <w:r>
        <w:rPr/>
        <w:t>, 1999, p.129.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jc w:val="center"/>
      <w:rPr>
        <w:b/>
        <w:bCs/>
        <w:sz w:val="22"/>
      </w:rPr>
    </w:pPr>
    <w:r>
      <w:rPr>
        <w:b/>
        <w:bCs/>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jc w:val="center"/>
      <w:rPr>
        <w:b/>
        <w:bCs/>
        <w:sz w:val="22"/>
      </w:rPr>
    </w:pPr>
    <w:r>
      <w:rPr>
        <w:b/>
        <w:bCs/>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bidi="ar-SA" w:eastAsia="zh-C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spacing w:val="-5"/>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paragraph" w:styleId="Heading6">
    <w:name w:val="heading 6"/>
    <w:basedOn w:val="Normal"/>
    <w:next w:val="Normal"/>
    <w:qFormat/>
    <w:pPr>
      <w:keepNext w:val="true"/>
      <w:numPr>
        <w:ilvl w:val="5"/>
        <w:numId w:val="1"/>
      </w:numPr>
      <w:outlineLvl w:val="5"/>
    </w:pPr>
    <w:rPr>
      <w:b/>
      <w:bCs/>
      <w:sz w:val="22"/>
    </w:rPr>
  </w:style>
  <w:style w:type="paragraph" w:styleId="Heading7">
    <w:name w:val="heading 7"/>
    <w:basedOn w:val="Normal"/>
    <w:next w:val="Normal"/>
    <w:qFormat/>
    <w:pPr>
      <w:keepNext w:val="true"/>
      <w:numPr>
        <w:ilvl w:val="6"/>
        <w:numId w:val="1"/>
      </w:numPr>
      <w:outlineLvl w:val="6"/>
    </w:pPr>
    <w:rPr>
      <w:rFonts w:ascii="Book Antiqua" w:hAnsi="Book Antiqua" w:cs="Book Antiqua"/>
      <w:b/>
      <w:bCs/>
      <w:sz w:val="24"/>
    </w:rPr>
  </w:style>
  <w:style w:type="paragraph" w:styleId="Heading8">
    <w:name w:val="heading 8"/>
    <w:basedOn w:val="Normal"/>
    <w:next w:val="Normal"/>
    <w:qFormat/>
    <w:pPr>
      <w:numPr>
        <w:ilvl w:val="7"/>
        <w:numId w:val="1"/>
      </w:numPr>
      <w:suppressAutoHyphens w:val="true"/>
      <w:spacing w:before="0" w:after="240"/>
      <w:jc w:val="both"/>
      <w:outlineLvl w:val="7"/>
    </w:pPr>
    <w:rPr>
      <w:rFonts w:ascii="Book Antiqua" w:hAnsi="Book Antiqua" w:cs="Book Antiqua"/>
      <w:spacing w:val="0"/>
      <w:sz w:val="22"/>
    </w:rPr>
  </w:style>
  <w:style w:type="paragraph" w:styleId="Heading9">
    <w:name w:val="heading 9"/>
    <w:basedOn w:val="Normal"/>
    <w:next w:val="Normal"/>
    <w:qFormat/>
    <w:pPr>
      <w:numPr>
        <w:ilvl w:val="8"/>
        <w:numId w:val="1"/>
      </w:numPr>
      <w:suppressAutoHyphens w:val="true"/>
      <w:spacing w:before="0" w:after="240"/>
      <w:jc w:val="both"/>
      <w:outlineLvl w:val="8"/>
    </w:pPr>
    <w:rPr>
      <w:rFonts w:ascii="Book Antiqua" w:hAnsi="Book Antiqua" w:cs="Book Antiqua"/>
      <w:spacing w:val="0"/>
      <w:sz w:val="22"/>
    </w:rPr>
  </w:style>
  <w:style w:type="character" w:styleId="WW8Num1z0">
    <w:name w:val="WW8Num1z0"/>
    <w:qFormat/>
    <w:rPr>
      <w:rFonts w:ascii="Symbol" w:hAnsi="Symbol" w:cs="Symbol"/>
    </w:rPr>
  </w:style>
  <w:style w:type="character" w:styleId="WW8Num2z0">
    <w:name w:val="WW8Num2z0"/>
    <w:qFormat/>
    <w:rPr>
      <w:rFonts w:ascii="Symbol" w:hAnsi="Symbol" w:cs="Symbol"/>
      <w:color w:val="auto"/>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Symbol" w:hAnsi="Symbol" w:cs="Symbol"/>
      <w:color w:val="auto"/>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character" w:styleId="FootnoteCharacters">
    <w:name w:val="Footnote Characters"/>
    <w:basedOn w:val="DefaultParagraphFont"/>
    <w:qFormat/>
    <w:rPr>
      <w:rFonts w:ascii="Book Antiqua" w:hAnsi="Book Antiqua" w:cs="Book Antiqua"/>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uppressAutoHyphens w:val="true"/>
      <w:spacing w:before="0" w:after="240"/>
      <w:jc w:val="center"/>
    </w:pPr>
    <w:rPr>
      <w:rFonts w:ascii="Book Antiqua" w:hAnsi="Book Antiqua" w:cs="Book Antiqua"/>
      <w:b/>
      <w:spacing w:val="0"/>
      <w:sz w:val="32"/>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jc w:val="both"/>
    </w:pPr>
    <w:rPr>
      <w:rFonts w:ascii="Book Antiqua" w:hAnsi="Book Antiqua" w:cs="Book Antiqua"/>
      <w:b/>
      <w:spacing w:val="-2"/>
      <w:sz w:val="22"/>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rFonts w:ascii="Arial" w:hAnsi="Arial" w:cs="Arial"/>
      <w:spacing w:val="-5"/>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spacing w:val="-5"/>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4SubPara">
    <w:name w:val="4SubPara"/>
    <w:basedOn w:val="Normal"/>
    <w:next w:val="Normal"/>
    <w:qFormat/>
    <w:pPr>
      <w:suppressAutoHyphens w:val="true"/>
      <w:spacing w:before="120" w:after="240"/>
      <w:jc w:val="both"/>
    </w:pPr>
    <w:rPr>
      <w:rFonts w:ascii="Book Antiqua" w:hAnsi="Book Antiqua" w:cs="Book Antiqua"/>
      <w:b/>
      <w:spacing w:val="0"/>
      <w:sz w:val="22"/>
    </w:rPr>
  </w:style>
  <w:style w:type="paragraph" w:styleId="FootnoteText">
    <w:name w:val="footnote text"/>
    <w:basedOn w:val="Normal"/>
    <w:pPr>
      <w:suppressAutoHyphens w:val="true"/>
      <w:spacing w:before="0" w:after="240"/>
      <w:ind w:hanging="720" w:start="720" w:end="0"/>
      <w:jc w:val="both"/>
    </w:pPr>
    <w:rPr>
      <w:rFonts w:ascii="Book Antiqua" w:hAnsi="Book Antiqua" w:cs="Book Antiqua"/>
      <w:spacing w:val="0"/>
      <w:sz w:val="18"/>
    </w:rPr>
  </w:style>
  <w:style w:type="paragraph" w:styleId="ListBullet1">
    <w:name w:val="List Bullet1"/>
    <w:basedOn w:val="Normal"/>
    <w:qFormat/>
    <w:pPr>
      <w:numPr>
        <w:ilvl w:val="0"/>
        <w:numId w:val="3"/>
      </w:numPr>
      <w:suppressAutoHyphens w:val="true"/>
      <w:spacing w:before="0" w:after="240"/>
      <w:jc w:val="both"/>
    </w:pPr>
    <w:rPr>
      <w:rFonts w:ascii="Book Antiqua" w:hAnsi="Book Antiqua" w:cs="Book Antiqua"/>
      <w:spacing w:val="0"/>
      <w:sz w:val="22"/>
    </w:rPr>
  </w:style>
  <w:style w:type="paragraph" w:styleId="BlockText">
    <w:name w:val="Block Text"/>
    <w:basedOn w:val="Normal"/>
    <w:qFormat/>
    <w:pPr>
      <w:tabs>
        <w:tab w:val="clear" w:pos="720"/>
        <w:tab w:val="left" w:pos="630" w:leader="none"/>
      </w:tabs>
      <w:suppressAutoHyphens w:val="true"/>
      <w:spacing w:before="0" w:after="240"/>
      <w:ind w:hanging="0" w:start="630" w:end="720"/>
      <w:jc w:val="both"/>
    </w:pPr>
    <w:rPr>
      <w:rFonts w:ascii="Book Antiqua" w:hAnsi="Book Antiqua" w:cs="Book Antiqua"/>
      <w:i/>
      <w:iCs/>
      <w:spacing w:val="0"/>
      <w:sz w:val="22"/>
    </w:rPr>
  </w:style>
  <w:style w:type="paragraph" w:styleId="BodyTextIndent">
    <w:name w:val="Body Text Indent"/>
    <w:basedOn w:val="Normal"/>
    <w:pPr>
      <w:suppressAutoHyphens w:val="true"/>
      <w:spacing w:before="0" w:after="240"/>
      <w:ind w:firstLine="720" w:start="0" w:end="0"/>
      <w:jc w:val="both"/>
    </w:pPr>
    <w:rPr>
      <w:rFonts w:ascii="Book Antiqua" w:hAnsi="Book Antiqua" w:cs="Book Antiqua"/>
      <w:i/>
      <w:iCs/>
      <w:spacing w:val="0"/>
      <w:sz w:val="22"/>
    </w:rPr>
  </w:style>
  <w:style w:type="paragraph" w:styleId="ListBullet">
    <w:name w:val="List Bullet"/>
    <w:basedOn w:val="Normal"/>
    <w:qFormat/>
    <w:pPr>
      <w:numPr>
        <w:ilvl w:val="0"/>
        <w:numId w:val="2"/>
      </w:numPr>
    </w:pPr>
    <w:rPr/>
  </w:style>
  <w:style w:type="paragraph" w:styleId="BodyText2">
    <w:name w:val="Body Text 2"/>
    <w:basedOn w:val="Normal"/>
    <w:qFormat/>
    <w:pPr>
      <w:spacing w:before="0" w:after="240"/>
    </w:pPr>
    <w:rPr>
      <w:rFonts w:ascii="Book Antiqua" w:hAnsi="Book Antiqua" w:cs="Book Antiqua"/>
      <w:sz w:val="22"/>
    </w:rPr>
  </w:style>
  <w:style w:type="paragraph" w:styleId="BodyText3">
    <w:name w:val="Body Text 3"/>
    <w:basedOn w:val="Normal"/>
    <w:qFormat/>
    <w:pPr>
      <w:spacing w:before="0" w:after="240"/>
    </w:pPr>
    <w:rPr>
      <w:rFonts w:ascii="Book Antiqua" w:hAnsi="Book Antiqua" w:cs="Book Antiqua"/>
      <w:i/>
      <w:iCs/>
      <w:sz w:val="22"/>
    </w:rPr>
  </w:style>
  <w:style w:type="paragraph" w:styleId="FaxNormal">
    <w:name w:val="FaxNormal"/>
    <w:basedOn w:val="Normal"/>
    <w:qFormat/>
    <w:pPr>
      <w:suppressAutoHyphens w:val="true"/>
      <w:jc w:val="both"/>
    </w:pPr>
    <w:rPr>
      <w:rFonts w:ascii="Book Antiqua" w:hAnsi="Book Antiqua" w:cs="Book Antiqua"/>
      <w:spacing w:val="0"/>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Memo</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2001-01-29T14:46:00Z</dcterms:created>
  <dc:creator>Seabron Adamson</dc:creator>
  <dc:description/>
  <dc:language>en-CA</dc:language>
  <cp:lastModifiedBy>Sabine F. Schnittger</cp:lastModifiedBy>
  <cp:lastPrinted>2001-01-29T13:05:00Z</cp:lastPrinted>
  <dcterms:modified xsi:type="dcterms:W3CDTF">2001-01-29T16:11:00Z</dcterms:modified>
  <cp:revision>22</cp:revision>
  <dc:subject/>
  <dc:title>Memo</dc:title>
</cp:coreProperties>
</file>