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noteText"/>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Normal"/>
        <w:numPr>
          <w:ilvl w:val="0"/>
          <w:numId w:val="0"/>
        </w:numPr>
        <w:jc w:val="center"/>
        <w:outlineLvl w:val="0"/>
        <w:rPr>
          <w:b/>
          <w:sz w:val="20"/>
        </w:rPr>
      </w:pPr>
      <w:r>
        <w:rPr>
          <w:b/>
          <w:sz w:val="20"/>
        </w:rPr>
        <w:t xml:space="preserve">CONFIRMATION </w:t>
      </w:r>
    </w:p>
    <w:p>
      <w:pPr>
        <w:pStyle w:val="Normal"/>
        <w:numPr>
          <w:ilvl w:val="0"/>
          <w:numId w:val="0"/>
        </w:numPr>
        <w:jc w:val="center"/>
        <w:outlineLvl w:val="0"/>
        <w:rPr>
          <w:b/>
          <w:sz w:val="20"/>
        </w:rPr>
      </w:pPr>
      <w:r>
        <w:rPr>
          <w:b/>
          <w:sz w:val="20"/>
        </w:rPr>
        <w:t>(SWAP)</w:t>
      </w:r>
    </w:p>
    <w:p>
      <w:pPr>
        <w:pStyle w:val="Index1"/>
        <w:rPr>
          <w:rFonts w:ascii="Times New Roman" w:hAnsi="Times New Roman" w:cs="Times New Roman"/>
          <w:b/>
          <w:sz w:val="20"/>
        </w:rPr>
      </w:pPr>
      <w:r>
        <w:rPr>
          <w:rFonts w:cs="Times New Roman" w:ascii="Times New Roman" w:hAnsi="Times New Roman"/>
          <w:b/>
          <w:sz w:val="20"/>
        </w:rPr>
      </w:r>
    </w:p>
    <w:p>
      <w:pPr>
        <w:pStyle w:val="Normal"/>
        <w:rPr>
          <w:sz w:val="20"/>
        </w:rPr>
      </w:pPr>
      <w:r>
        <w:rPr>
          <w:sz w:val="20"/>
        </w:rPr>
        <w:t>Date:</w:t>
        <w:tab/>
        <w:tab/>
        <w:tab/>
        <w:tab/>
        <w:t>August 29, 2001</w:t>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AIG Commodity Arbitrage Fund L.P</w:t>
      </w:r>
      <w:r>
        <w:rPr>
          <w:sz w:val="20"/>
        </w:rPr>
        <w:fldChar w:fldCharType="end"/>
      </w:r>
      <w:r>
        <w:rPr>
          <w:sz w:val="20"/>
        </w:rPr>
        <w:t>.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Normal"/>
        <w:rPr>
          <w:sz w:val="20"/>
        </w:rPr>
      </w:pPr>
      <w:r>
        <w:rPr>
          <w:sz w:val="20"/>
        </w:rPr>
        <w:t>Fax No.:</w:t>
        <w:tab/>
        <w:tab/>
        <w:tab/>
        <w:tab/>
        <w:t>203-861-3001</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AIG Commodity Arbitrage Fund L.P. (“Counterparty”) and Enron North America Corp. (“ENA”) on August 29,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August 29, 2001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sz w:val="20"/>
        </w:rPr>
      </w:pPr>
      <w:r>
        <w:rPr>
          <w:sz w:val="20"/>
        </w:rPr>
      </w:r>
    </w:p>
    <w:p>
      <w:pPr>
        <w:pStyle w:val="Normal"/>
        <w:rPr>
          <w:sz w:val="20"/>
        </w:rPr>
      </w:pPr>
      <w:r>
        <w:rPr>
          <w:sz w:val="20"/>
        </w:rPr>
        <w:tab/>
        <w:t>Terms to be supplied by ENA Confirmation Desk.</w:t>
      </w:r>
    </w:p>
    <w:p>
      <w:pPr>
        <w:pStyle w:val="Normal"/>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New York,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4"/>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jc w:val="both"/>
        <w:rPr/>
      </w:pPr>
      <w:r>
        <w:rPr>
          <w:sz w:val="20"/>
        </w:rPr>
        <w:t xml:space="preserve">b)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1281 East Main Street, Stamford, Connecticut  06902, Attention:  Legal Department, Facsimile No. (203) 324-8488.</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BodyText"/>
        <w:rPr/>
      </w:pPr>
      <w:r>
        <w:rPr/>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AIG COMMODITY ARBITRAGE FUND L.P.</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rPr>
          <w:sz w:val="20"/>
        </w:rPr>
      </w:pPr>
      <w:r>
        <w:rPr>
          <w:sz w:val="20"/>
        </w:rPr>
      </w:r>
    </w:p>
    <w:p>
      <w:pPr>
        <w:pStyle w:val="Normal"/>
        <w:tabs>
          <w:tab w:val="clear" w:pos="720"/>
          <w:tab w:val="left" w:pos="1440" w:leader="none"/>
        </w:tabs>
        <w:rPr>
          <w:sz w:val="20"/>
        </w:rPr>
      </w:pPr>
      <w:r>
        <w:rPr>
          <w:sz w:val="20"/>
        </w:rPr>
        <w:tab/>
      </w:r>
    </w:p>
    <w:p>
      <w:pPr>
        <w:pStyle w:val="Normal"/>
        <w:keepNext w:val="true"/>
        <w:jc w:val="end"/>
        <w:rPr>
          <w:sz w:val="20"/>
        </w:rPr>
      </w:pPr>
      <w:r>
        <w:rPr>
          <w:sz w:val="20"/>
        </w:rPr>
        <w:tab/>
      </w:r>
    </w:p>
    <w:p>
      <w:pPr>
        <w:pStyle w:val="Normal"/>
        <w:keepNext w:val="true"/>
        <w:jc w:val="end"/>
        <w:rPr>
          <w:sz w:val="20"/>
        </w:rPr>
      </w:pPr>
      <w:r>
        <w:rPr>
          <w:sz w:val="20"/>
        </w:rPr>
      </w:r>
    </w:p>
    <w:p>
      <w:pPr>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AIG Commodity Arbitrage Fund  L.P.</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and Party B make the following representations:</w:t>
      </w:r>
    </w:p>
    <w:p>
      <w:pPr>
        <w:pStyle w:val="Normal"/>
        <w:spacing w:lineRule="exact" w:line="240" w:before="240" w:after="0"/>
        <w:ind w:hanging="180" w:start="900" w:end="0"/>
        <w:jc w:val="both"/>
        <w:rPr>
          <w:sz w:val="20"/>
        </w:rPr>
      </w:pPr>
      <w:r>
        <w:rPr>
          <w:sz w:val="20"/>
        </w:rPr>
        <w:t>(i)</w:t>
        <w:tab/>
        <w:t>The following representation applies to Party A:</w:t>
      </w:r>
    </w:p>
    <w:p>
      <w:pPr>
        <w:pStyle w:val="Normal"/>
        <w:spacing w:lineRule="exact" w:line="240" w:before="240" w:after="0"/>
        <w:ind w:firstLine="540" w:start="900" w:end="0"/>
        <w:jc w:val="both"/>
        <w:rPr>
          <w:sz w:val="20"/>
        </w:rPr>
      </w:pPr>
      <w:r>
        <w:rPr>
          <w:sz w:val="20"/>
        </w:rPr>
        <w:t>Party A is a corporation organized under the law of the State of Delaware.</w:t>
      </w:r>
    </w:p>
    <w:p>
      <w:pPr>
        <w:pStyle w:val="Normal"/>
        <w:spacing w:lineRule="exact" w:line="240" w:before="240" w:after="0"/>
        <w:ind w:hanging="180" w:start="900" w:end="0"/>
        <w:jc w:val="both"/>
        <w:rPr>
          <w:sz w:val="20"/>
        </w:rPr>
      </w:pPr>
      <w:r>
        <w:rPr>
          <w:sz w:val="20"/>
        </w:rPr>
        <w:t>(ii)</w:t>
        <w:tab/>
        <w:t>The following representation applies to Party B:</w:t>
      </w:r>
    </w:p>
    <w:p>
      <w:pPr>
        <w:pStyle w:val="Normal"/>
        <w:spacing w:lineRule="exact" w:line="240" w:before="240" w:after="0"/>
        <w:ind w:firstLine="540" w:start="900" w:end="0"/>
        <w:jc w:val="both"/>
        <w:rPr>
          <w:sz w:val="20"/>
        </w:rPr>
      </w:pPr>
      <w:r>
        <w:rPr>
          <w:sz w:val="20"/>
        </w:rPr>
        <w:t>Party B is a limited partnership organized under the law of the State of Delaware.</w:t>
      </w:r>
    </w:p>
    <w:p>
      <w:pPr>
        <w:pStyle w:val="Normal"/>
        <w:spacing w:lineRule="exact" w:line="240" w:before="240" w:after="0"/>
        <w:ind w:firstLine="540" w:start="900" w:end="0"/>
        <w:jc w:val="both"/>
        <w:rPr>
          <w:sz w:val="20"/>
        </w:rPr>
      </w:pPr>
      <w:r>
        <w:rPr>
          <w:sz w:val="20"/>
        </w:rPr>
      </w:r>
    </w:p>
    <w:p>
      <w:pPr>
        <w:pStyle w:val="Heading6"/>
        <w:ind w:hanging="0" w:start="0"/>
        <w:rPr/>
      </w:pPr>
      <w:r>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5"/>
          <w:headerReference w:type="first" r:id="rId6"/>
          <w:footerReference w:type="default" r:id="rId7"/>
          <w:footerReference w:type="first" r:id="rId8"/>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Termination Events</w:t>
      </w:r>
      <w:r>
        <w:rPr>
          <w:sz w:val="20"/>
        </w:rPr>
        <w:t>. The following will constitute Additional Termination Events for purposes of Section 5(b) of the ISDA Agreement.  For purposes of the Termination Event set forth in clause (ix) below, the Defaulting Party shall be the Affected Party and for purposes of the Termination Events set forth in clauses (x) through (xv) below (the “Counterparty Additional Termination Events”), Counterparty shall be the Affected Party:</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Additional Termination Events are added to Section 5(b) of the ISDA Agreement:</w:t>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BodyTextIndent2"/>
        <w:tabs>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3 to 1; or</w:t>
      </w:r>
    </w:p>
    <w:p>
      <w:pPr>
        <w:pStyle w:val="Normal"/>
        <w:spacing w:before="120" w:after="0"/>
        <w:ind w:firstLine="1530" w:start="-810" w:end="0"/>
        <w:jc w:val="both"/>
        <w:rPr>
          <w:sz w:val="20"/>
        </w:rPr>
      </w:pPr>
      <w:r>
        <w:rPr>
          <w:sz w:val="20"/>
        </w:rPr>
        <w:t>(xii)</w:t>
        <w:tab/>
        <w:t>if Counterparty’s Net Asset Value falls below U.S. $30,000,000; or</w:t>
      </w:r>
    </w:p>
    <w:p>
      <w:pPr>
        <w:pStyle w:val="Normal"/>
        <w:spacing w:before="120" w:after="0"/>
        <w:ind w:hanging="720" w:start="1440" w:end="0"/>
        <w:jc w:val="both"/>
        <w:rPr>
          <w:sz w:val="20"/>
        </w:rPr>
      </w:pPr>
      <w:r>
        <w:rPr>
          <w:sz w:val="20"/>
        </w:rPr>
        <w:t>(xiii)</w:t>
        <w:tab/>
        <w:t>(y) in the event that Counterparty has only one Manager, if such Manager resigns, is terminated or is otherwise incapacitated for a period exceeding one month or (z) in the event that Counterparty has more than one Manager, if all such Managers resign, are terminated or are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 or”</w:t>
      </w:r>
    </w:p>
    <w:p>
      <w:pPr>
        <w:pStyle w:val="Normal"/>
        <w:spacing w:before="120" w:after="0"/>
        <w:ind w:hanging="720" w:start="1440" w:end="0"/>
        <w:jc w:val="both"/>
        <w:rPr>
          <w:sz w:val="20"/>
        </w:rPr>
      </w:pPr>
      <w:r>
        <w:rPr>
          <w:sz w:val="20"/>
        </w:rPr>
        <w:t>(xv)</w:t>
        <w:tab/>
        <w:t>if Counterparty’s Manager ceases to be either Joseph Kleinman, Simon Glover or another Person acceptable to ENA.”</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$150,000,000 (or its equivalent in another currency); with respect to ENA's Credit Support Provider, U.S. $150,000,000 (or its equivalent in another currency)</w:t>
      </w:r>
      <w:r>
        <w:rPr>
          <w:color w:val="000000"/>
          <w:sz w:val="20"/>
        </w:rPr>
        <w:t xml:space="preserve">; </w:t>
      </w:r>
      <w:r>
        <w:rPr>
          <w:sz w:val="20"/>
        </w:rPr>
        <w:t xml:space="preserve">and with respect to Party B, U.S. $2,500,000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Portfolio Management Agreement dated October 15, 1997 between Counterparty, AIG International Management Company, Inc., as the General Manager for the fund and Finagra Management L.L.C., as the Trading Advisor for the fund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any Person with ultimate authority to direct the investments of Counterparty which as of the date hereof shall be Joseph Kleinman and Simon Glover.</w:t>
      </w:r>
    </w:p>
    <w:p>
      <w:pPr>
        <w:pStyle w:val="Normal"/>
        <w:jc w:val="both"/>
        <w:rPr>
          <w:color w:val="000000"/>
          <w:sz w:val="20"/>
        </w:rPr>
      </w:pPr>
      <w:r>
        <w:rPr>
          <w:color w:val="000000"/>
          <w:sz w:val="20"/>
        </w:rPr>
      </w:r>
    </w:p>
    <w:p>
      <w:pPr>
        <w:pStyle w:val="Normal"/>
        <w:ind w:start="360" w:end="0"/>
        <w:jc w:val="both"/>
        <w:rPr/>
      </w:pPr>
      <w:r>
        <w:rPr>
          <w:i/>
          <w:sz w:val="20"/>
        </w:rPr>
        <w:t xml:space="preserve"> “</w:t>
      </w:r>
      <w:r>
        <w:rPr>
          <w:i/>
          <w:sz w:val="20"/>
          <w:u w:val="single"/>
        </w:rPr>
        <w:t>Net Asset Value</w:t>
      </w:r>
      <w:r>
        <w:rPr>
          <w:i/>
          <w:sz w:val="20"/>
        </w:rPr>
        <w:t>”</w:t>
      </w:r>
      <w:r>
        <w:rPr>
          <w:b/>
          <w:sz w:val="20"/>
        </w:rPr>
        <w:t xml:space="preserve"> </w:t>
      </w:r>
      <w:r>
        <w:rPr>
          <w:sz w:val="20"/>
        </w:rPr>
        <w:t>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 and Performance Assurance</w:t>
      </w:r>
      <w:r>
        <w:rPr>
          <w:sz w:val="20"/>
        </w:rPr>
        <w:t>.  On or before 5:00 p.m. (Houston time) on August 31, 2001, Counterparty shall deliver to ENA Performance Assurance in the amount of $150,000 (the "Additional Amount") which Additional Amount shall be maintained in favor of ENA in accordance with the terms of Annex B-1.  In addition,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ENA previously delivered to Counterparty the duly executed guaranty dated April 17, 2001 (</w:t>
      </w:r>
      <w:r>
        <w:rPr>
          <w:i/>
          <w:sz w:val="20"/>
        </w:rPr>
        <w:t>"</w:t>
      </w:r>
      <w:r>
        <w:rPr>
          <w:i/>
          <w:sz w:val="20"/>
          <w:u w:val="single"/>
        </w:rPr>
        <w:t>Guaranty</w:t>
      </w:r>
      <w:r>
        <w:rPr>
          <w:i/>
          <w:sz w:val="20"/>
        </w:rPr>
        <w:t>"</w:t>
      </w:r>
      <w:r>
        <w:rPr>
          <w:sz w:val="20"/>
        </w:rPr>
        <w:t>) from its Credit Support Provider in favor of Counterparty,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9">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ENA, the amount specified as such for ENA in each Confirmation, or if no amount is specified, zero and means with respect to Counterparty, the amount specified as such for ENA in a Confirmation, which amount may be increased or decreased from time to time by ENA in a Confirmation and which amount, as so modified, shall be the Additional Amount applicable for all outstanding Swaps, provided, however, that in no event shall Counterparty’s Additional Amount be less than $10,000 if there are any outstanding Swaps.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5 of this Annex.</w:t>
      </w:r>
    </w:p>
    <w:p>
      <w:pPr>
        <w:pStyle w:val="Normal"/>
        <w:jc w:val="both"/>
        <w:rPr>
          <w:sz w:val="20"/>
        </w:rPr>
      </w:pPr>
      <w:r>
        <w:rPr>
          <w:sz w:val="20"/>
        </w:rPr>
        <w:tab/>
        <w:tab/>
      </w:r>
    </w:p>
    <w:p>
      <w:pPr>
        <w:pStyle w:val="Normal"/>
        <w:ind w:hanging="720" w:start="1440" w:end="0"/>
        <w:jc w:val="both"/>
        <w:rPr>
          <w:b/>
          <w:sz w:val="20"/>
        </w:rPr>
      </w:pPr>
      <w:r>
        <w:rPr>
          <w:sz w:val="20"/>
        </w:rPr>
        <w:t>(d)</w:t>
        <w:tab/>
        <w:t>"</w:t>
      </w:r>
      <w:r>
        <w:rPr>
          <w:i/>
          <w:sz w:val="20"/>
          <w:u w:val="single"/>
        </w:rPr>
        <w:t>Credit Rating</w:t>
      </w:r>
      <w:r>
        <w:rPr>
          <w:i/>
          <w:sz w:val="20"/>
        </w:rPr>
        <w:t>"</w:t>
      </w:r>
      <w:r>
        <w:rPr>
          <w:sz w:val="20"/>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tabs>
          <w:tab w:val="left" w:pos="720" w:leader="none"/>
        </w:tabs>
        <w:ind w:hanging="1440" w:start="1440" w:end="0"/>
        <w:jc w:val="both"/>
        <w:rPr>
          <w:sz w:val="20"/>
        </w:rPr>
      </w:pPr>
      <w:r>
        <w:rPr>
          <w:sz w:val="20"/>
        </w:rPr>
        <w:tab/>
      </w:r>
    </w:p>
    <w:p>
      <w:pPr>
        <w:pStyle w:val="Normal"/>
        <w:tabs>
          <w:tab w:val="left" w:pos="720" w:leader="none"/>
        </w:tabs>
        <w:ind w:hanging="1440" w:start="1440" w:end="0"/>
        <w:jc w:val="both"/>
        <w:rPr/>
      </w:pPr>
      <w:r>
        <w:rPr>
          <w:sz w:val="20"/>
        </w:rPr>
        <w:tab/>
        <w:t>(e)</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Calculation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(f)</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(g)</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(i)</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hanging="720" w:start="1440" w:end="0"/>
        <w:jc w:val="both"/>
        <w:rPr>
          <w:sz w:val="20"/>
        </w:rPr>
      </w:pPr>
      <w:r>
        <w:rPr>
          <w:sz w:val="20"/>
        </w:rPr>
      </w:r>
    </w:p>
    <w:p>
      <w:pPr>
        <w:pStyle w:val="Normal"/>
        <w:ind w:hanging="720" w:start="1440" w:end="0"/>
        <w:jc w:val="both"/>
        <w:rPr/>
      </w:pPr>
      <w:r>
        <w:rPr>
          <w:sz w:val="20"/>
        </w:rPr>
        <w:t>(j)</w:t>
        <w:tab/>
        <w:t>"</w:t>
      </w:r>
      <w:r>
        <w:rPr>
          <w:i/>
          <w:sz w:val="20"/>
          <w:u w:val="single"/>
        </w:rPr>
        <w:t>Material Adverse Change</w:t>
      </w:r>
      <w:r>
        <w:rPr>
          <w:sz w:val="20"/>
        </w:rPr>
        <w:t xml:space="preserve">" means (a) with respect to ENA, its Credit Support Provider's Credit Rating is below "BBB-" by S&amp;P or, if it has no Credit Rating from S&amp;P, its Credit Support Provider's Credit Rating is below "Baa3" by Moody's or its Credit Support Provider fails to have a Credit Rating from either S&amp;P or Moody’s, or (b) with respect to Counterparty, a Counterparty Additional Termination Event occurs.  </w:t>
      </w:r>
    </w:p>
    <w:p>
      <w:pPr>
        <w:pStyle w:val="Normal"/>
        <w:ind w:hanging="720" w:start="1440" w:end="0"/>
        <w:jc w:val="both"/>
        <w:rPr>
          <w:sz w:val="20"/>
        </w:rPr>
      </w:pPr>
      <w:r>
        <w:rPr>
          <w:sz w:val="20"/>
        </w:rPr>
      </w:r>
    </w:p>
    <w:p>
      <w:pPr>
        <w:pStyle w:val="Normal"/>
        <w:ind w:hanging="720" w:start="1440" w:end="0"/>
        <w:jc w:val="both"/>
        <w:rPr/>
      </w:pPr>
      <w:r>
        <w:rPr>
          <w:sz w:val="20"/>
        </w:rPr>
        <w:t>(k)</w:t>
      </w:r>
      <w:r>
        <w:rPr>
          <w:i/>
          <w:sz w:val="20"/>
        </w:rPr>
        <w:tab/>
        <w:t>"</w:t>
      </w:r>
      <w:r>
        <w:rPr>
          <w:i/>
          <w:sz w:val="20"/>
          <w:u w:val="single"/>
        </w:rPr>
        <w:t>Moody's</w:t>
      </w:r>
      <w:r>
        <w:rPr>
          <w:i/>
          <w:sz w:val="20"/>
        </w:rPr>
        <w:t>"</w:t>
      </w:r>
      <w:r>
        <w:rPr>
          <w:sz w:val="20"/>
        </w:rPr>
        <w:t xml:space="preserve"> means Moody's Investors Service, Inc. or its successor.</w:t>
      </w:r>
    </w:p>
    <w:p>
      <w:pPr>
        <w:pStyle w:val="Normal"/>
        <w:ind w:hanging="720" w:start="1440" w:end="0"/>
        <w:jc w:val="both"/>
        <w:rPr>
          <w:sz w:val="20"/>
        </w:rPr>
      </w:pPr>
      <w:r>
        <w:rPr>
          <w:sz w:val="20"/>
        </w:rPr>
      </w:r>
    </w:p>
    <w:p>
      <w:pPr>
        <w:pStyle w:val="Normal"/>
        <w:ind w:hanging="720" w:start="1440" w:end="0"/>
        <w:jc w:val="both"/>
        <w:rPr/>
      </w:pPr>
      <w:r>
        <w:rPr>
          <w:sz w:val="20"/>
        </w:rPr>
        <w:t>(l)</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5 of this Annex; and (iii) all proceeds of all of the foregoing property that have been Transferred to or received by the Exposed Party hereunder.</w:t>
      </w:r>
    </w:p>
    <w:p>
      <w:pPr>
        <w:pStyle w:val="Normal"/>
        <w:tabs>
          <w:tab w:val="clear" w:pos="720"/>
          <w:tab w:val="left" w:pos="1440" w:leader="none"/>
        </w:tabs>
        <w:ind w:hanging="1440" w:start="1440" w:end="0"/>
        <w:jc w:val="both"/>
        <w:rPr>
          <w:sz w:val="20"/>
        </w:rPr>
      </w:pPr>
      <w:r>
        <w:rPr>
          <w:sz w:val="20"/>
        </w:rPr>
      </w:r>
    </w:p>
    <w:p>
      <w:pPr>
        <w:pStyle w:val="Normal"/>
        <w:tabs>
          <w:tab w:val="clear" w:pos="720"/>
          <w:tab w:val="left" w:pos="1440" w:leader="none"/>
        </w:tabs>
        <w:ind w:hanging="720" w:start="1440" w:end="0"/>
        <w:jc w:val="both"/>
        <w:rPr/>
      </w:pPr>
      <w:r>
        <w:rPr>
          <w:sz w:val="20"/>
        </w:rPr>
        <w:t>(m)</w:t>
      </w:r>
      <w:r>
        <w:rPr>
          <w:i/>
          <w:sz w:val="20"/>
        </w:rPr>
        <w:tab/>
        <w:t>“</w:t>
      </w:r>
      <w:r>
        <w:rPr>
          <w:i/>
          <w:sz w:val="20"/>
          <w:u w:val="single"/>
        </w:rPr>
        <w:t>S&amp;P</w:t>
      </w:r>
      <w:r>
        <w:rPr>
          <w:i/>
          <w:sz w:val="20"/>
        </w:rPr>
        <w:t>"</w:t>
      </w:r>
      <w:r>
        <w:rPr>
          <w:sz w:val="20"/>
        </w:rPr>
        <w:t xml:space="preserve"> means the Standard &amp; Poor's Rating Group (a division of McGraw-Hill, Inc.) or its successor.</w:t>
      </w:r>
    </w:p>
    <w:p>
      <w:pPr>
        <w:pStyle w:val="Normal"/>
        <w:jc w:val="both"/>
        <w:rPr>
          <w:sz w:val="20"/>
        </w:rPr>
      </w:pPr>
      <w:r>
        <w:rPr>
          <w:sz w:val="20"/>
        </w:rPr>
      </w:r>
    </w:p>
    <w:p>
      <w:pPr>
        <w:pStyle w:val="Normal"/>
        <w:tabs>
          <w:tab w:val="left" w:pos="720" w:leader="none"/>
        </w:tabs>
        <w:ind w:hanging="720" w:start="1440" w:end="0"/>
        <w:jc w:val="both"/>
        <w:rPr/>
      </w:pPr>
      <w:r>
        <w:rPr>
          <w:sz w:val="20"/>
        </w:rPr>
        <w:t>(n)</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(o)</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ind w:start="720" w:end="0"/>
        <w:jc w:val="both"/>
        <w:rPr>
          <w:sz w:val="20"/>
        </w:rPr>
      </w:pPr>
      <w:r>
        <w:rPr>
          <w:sz w:val="20"/>
        </w:rPr>
      </w:r>
    </w:p>
    <w:p>
      <w:pPr>
        <w:pStyle w:val="Normal"/>
        <w:ind w:hanging="720" w:start="1440" w:end="0"/>
        <w:jc w:val="both"/>
        <w:rPr/>
      </w:pPr>
      <w:r>
        <w:rPr>
          <w:sz w:val="20"/>
        </w:rPr>
        <w:t>(d)</w:t>
        <w:tab/>
        <w:t xml:space="preserve">ENA will be entitled to hold Performance Assurance; </w:t>
      </w:r>
      <w:r>
        <w:rPr>
          <w:sz w:val="20"/>
          <w:u w:val="single"/>
        </w:rPr>
        <w:t>provided</w:t>
      </w:r>
      <w:r>
        <w:rPr>
          <w:sz w:val="20"/>
        </w:rPr>
        <w:t xml:space="preserve"> </w:t>
      </w:r>
      <w:r>
        <w:rPr>
          <w:sz w:val="20"/>
          <w:u w:val="single"/>
        </w:rPr>
        <w:t>that</w:t>
      </w:r>
      <w:r>
        <w:rPr>
          <w:sz w:val="20"/>
        </w:rPr>
        <w:t xml:space="preserve"> the following conditions applicable to it are satisfied:  (1) ENA is not a Defaulting Party and a Material Adverse Change has not occurred with respect to ENA.  In addition, Performance Assurance may be held only in the United States.</w:t>
      </w:r>
    </w:p>
    <w:p>
      <w:pPr>
        <w:pStyle w:val="Normal"/>
        <w:ind w:hanging="720" w:start="1440" w:end="0"/>
        <w:jc w:val="both"/>
        <w:rPr>
          <w:sz w:val="20"/>
        </w:rPr>
      </w:pPr>
      <w:r>
        <w:rPr>
          <w:sz w:val="20"/>
        </w:rPr>
      </w:r>
    </w:p>
    <w:p>
      <w:pPr>
        <w:pStyle w:val="Normal"/>
        <w:numPr>
          <w:ilvl w:val="0"/>
          <w:numId w:val="3"/>
        </w:numPr>
        <w:tabs>
          <w:tab w:val="clear" w:pos="720"/>
        </w:tabs>
        <w:ind w:hanging="720" w:start="1440" w:end="0"/>
        <w:jc w:val="both"/>
        <w:rPr>
          <w:sz w:val="20"/>
        </w:rPr>
      </w:pPr>
      <w:r>
        <w:rPr>
          <w:sz w:val="20"/>
        </w:rPr>
        <w:t xml:space="preserve">Counterparty will be entitled to hold Performance Assurance; </w:t>
      </w:r>
      <w:r>
        <w:rPr>
          <w:sz w:val="20"/>
          <w:u w:val="single"/>
        </w:rPr>
        <w:t>provided</w:t>
      </w:r>
      <w:r>
        <w:rPr>
          <w:sz w:val="20"/>
        </w:rPr>
        <w:t xml:space="preserve"> </w:t>
      </w:r>
      <w:r>
        <w:rPr>
          <w:sz w:val="20"/>
          <w:u w:val="single"/>
        </w:rPr>
        <w:t>that</w:t>
      </w:r>
      <w:r>
        <w:rPr>
          <w:sz w:val="20"/>
        </w:rPr>
        <w:t xml:space="preserve"> the following conditions applicable to it are satisfied:  (1) Counterparty is not a Defaulting Party and a Material Adverse Change has not occurred with respect to Counterparty.  In addition, Performance Assurance may be held only in the United States.</w:t>
      </w:r>
    </w:p>
    <w:p>
      <w:pPr>
        <w:pStyle w:val="Normal"/>
        <w:jc w:val="both"/>
        <w:rPr>
          <w:sz w:val="20"/>
        </w:rPr>
      </w:pPr>
      <w:r>
        <w:rPr>
          <w:sz w:val="20"/>
        </w:rPr>
      </w:r>
    </w:p>
    <w:p>
      <w:pPr>
        <w:pStyle w:val="Normal"/>
        <w:ind w:hanging="720" w:start="1440" w:end="0"/>
        <w:jc w:val="both"/>
        <w:rPr/>
      </w:pPr>
      <w:r>
        <w:rPr>
          <w:sz w:val="20"/>
        </w:rPr>
        <w:t>(f)</w:t>
      </w:r>
      <w:r>
        <w:rPr>
          <w:color w:val="0000FF"/>
          <w:sz w:val="20"/>
        </w:rPr>
        <w:tab/>
      </w:r>
      <w:r>
        <w:rPr>
          <w:sz w:val="20"/>
        </w:rPr>
        <w:t xml:space="preserve">If a party is not eligible to hold Performance Assurance pursuant to this Section, then it shall be considered a “Downgraded Party” (as defined below) and Performance Assurance shall be maintained in accordance with the following provisions.   The provisions of Section 7(d) of this Annex will apply to the parties; </w:t>
      </w:r>
      <w:r>
        <w:rPr>
          <w:sz w:val="20"/>
          <w:u w:val="single"/>
        </w:rPr>
        <w:t>provided</w:t>
      </w:r>
      <w:r>
        <w:rPr>
          <w:sz w:val="20"/>
        </w:rPr>
        <w:t xml:space="preserve">, </w:t>
      </w:r>
      <w:r>
        <w:rPr>
          <w:sz w:val="20"/>
          <w:u w:val="single"/>
        </w:rPr>
        <w:t>however</w:t>
      </w:r>
      <w:r>
        <w:rPr>
          <w:sz w:val="20"/>
        </w:rPr>
        <w:t>, that if a party is not eligible to hold Performance Assurance pursuant to Section 3(d) or (e) of this Annex (the event that caused it to be ineligible to hold Performance Assurance shall be a “Credit Rating Event” and such party</w:t>
      </w:r>
      <w:r>
        <w:rPr>
          <w:color w:val="FF0000"/>
          <w:sz w:val="20"/>
        </w:rPr>
        <w:t xml:space="preserve"> </w:t>
      </w:r>
      <w:r>
        <w:rPr>
          <w:sz w:val="20"/>
        </w:rPr>
        <w:t>shall be the “Downgraded Party”), then:</w:t>
      </w:r>
    </w:p>
    <w:p>
      <w:pPr>
        <w:pStyle w:val="Normal"/>
        <w:ind w:hanging="720" w:start="2160" w:end="0"/>
        <w:jc w:val="both"/>
        <w:rPr>
          <w:sz w:val="20"/>
        </w:rPr>
      </w:pPr>
      <w:r>
        <w:rPr>
          <w:sz w:val="20"/>
        </w:rPr>
      </w:r>
    </w:p>
    <w:p>
      <w:pPr>
        <w:pStyle w:val="Normal"/>
        <w:ind w:start="1440" w:end="0"/>
        <w:jc w:val="both"/>
        <w:rPr>
          <w:sz w:val="20"/>
        </w:rPr>
      </w:pPr>
      <w:r>
        <w:rPr>
          <w:sz w:val="20"/>
        </w:rPr>
        <w:t>(1)  the provisions of Section 7(d) of this Annex will not apply with respect to the Downgraded Party as the Secured Party (as defined below) for so long as it remains a Downgraded Party.</w:t>
      </w:r>
    </w:p>
    <w:p>
      <w:pPr>
        <w:pStyle w:val="Normal"/>
        <w:ind w:start="1440" w:end="0"/>
        <w:jc w:val="both"/>
        <w:rPr>
          <w:sz w:val="20"/>
        </w:rPr>
      </w:pPr>
      <w:r>
        <w:rPr>
          <w:sz w:val="20"/>
        </w:rPr>
      </w:r>
    </w:p>
    <w:p>
      <w:pPr>
        <w:pStyle w:val="Normal"/>
        <w:ind w:start="1440" w:end="0"/>
        <w:jc w:val="both"/>
        <w:rPr>
          <w:sz w:val="20"/>
        </w:rPr>
      </w:pPr>
      <w:r>
        <w:rPr>
          <w:sz w:val="20"/>
        </w:rPr>
        <w:t>(2)  the Downgraded Party shall be required to deliver not later than the close of business on the second Business Day following such Credit Rating Event all Performance Assurance in its possession or held on its behalf to a commercial bank or trust company organized under the law of the United States or a political subdivision thereof, with a Credit Rating of at least “A-” in the case of S&amp;P or “A3” in the case of Moody’s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Performance Assurance for the Downgraded Party.  The Qualified Institution shall serve as Custodian with respect to the Performance Assurance in the Collateral Account, and shall hold such Performance Assurance in accordance with the terms of this Annex and for the security interest of the Downgraded Party and, subject to such security interest, for the ownership of the non-Downgraded Party.</w:t>
      </w:r>
    </w:p>
    <w:p>
      <w:pPr>
        <w:pStyle w:val="Normal"/>
        <w:ind w:start="1080" w:end="0"/>
        <w:jc w:val="both"/>
        <w:rPr>
          <w:sz w:val="20"/>
        </w:rPr>
      </w:pPr>
      <w:r>
        <w:rPr>
          <w:sz w:val="20"/>
        </w:rPr>
      </w:r>
    </w:p>
    <w:p>
      <w:pPr>
        <w:pStyle w:val="Normal"/>
        <w:ind w:start="1440" w:end="0"/>
        <w:jc w:val="both"/>
        <w:rPr>
          <w:sz w:val="20"/>
        </w:rPr>
      </w:pPr>
      <w:r>
        <w:rPr>
          <w:sz w:val="20"/>
        </w:rPr>
        <w:t>(3)   So long as the provisions of Section 7(d) of this Annex do not apply, the Qualified Institution holding the Performance Assurance will invest and reinvest or procure the investment and reinvestment of the Performance Assurance in accordance with the written instructions of the party posting the Performance Assurance (the “Pledgor”), subject to the approval of such instructions by the other party (the “Secured Party”) (which approval shall not be unreasonably withheld), provided that the Qualified Institution shall not be required to so invest or reinvest or procure such investment or reinvestment if an Event of Default with respect to the Pledgor shall have occurred and be continuing.  The Secured Party shall have no responsibility for any losses resulting from any investment or reinvestment effected in accordance with the Pledgor’s instructions</w:t>
      </w:r>
    </w:p>
    <w:p>
      <w:pPr>
        <w:pStyle w:val="Normal"/>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sectPr>
      <w:headerReference w:type="default" r:id="rId14"/>
      <w:headerReference w:type="first" r:id="rId15"/>
      <w:footerReference w:type="default" r:id="rId16"/>
      <w:footerReference w:type="first" r:id="rId17"/>
      <w:type w:val="nextPage"/>
      <w:pgSz w:w="12240" w:h="15840"/>
      <w:pgMar w:left="1728" w:right="1728" w:gutter="0" w:header="720" w:top="1728"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Annex B</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sz w:val="18"/>
      </w:rPr>
    </w:pPr>
    <w:r>
      <w:rPr>
        <w:sz w:val="18"/>
      </w:rPr>
      <w:t>Annex B-1</w:t>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38.0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5"/>
      <w:numFmt w:val="lowerLetter"/>
      <w:lvlText w:val="(%1)"/>
      <w:lvlJc w:val="start"/>
      <w:pPr>
        <w:tabs>
          <w:tab w:val="num" w:pos="1800"/>
        </w:tabs>
        <w:ind w:start="1800" w:hanging="360"/>
      </w:pPr>
      <w:rPr/>
    </w:lvl>
  </w:abstractNum>
  <w:abstractNum w:abstractNumId="4">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6">
    <w:name w:val="heading 6"/>
    <w:basedOn w:val="Normal"/>
    <w:next w:val="Normal"/>
    <w:qFormat/>
    <w:pPr>
      <w:keepNext w:val="true"/>
      <w:numPr>
        <w:ilvl w:val="5"/>
        <w:numId w:val="1"/>
      </w:numPr>
      <w:spacing w:lineRule="exact" w:line="240" w:before="240" w:after="0"/>
      <w:jc w:val="both"/>
      <w:outlineLvl w:val="5"/>
    </w:pPr>
    <w:rPr>
      <w:b/>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b w:val="fals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Index1">
    <w:name w:val="index 1"/>
    <w:basedOn w:val="Normal"/>
    <w:next w:val="Normal"/>
    <w:pPr/>
    <w:rPr>
      <w:rFonts w:ascii="Arial" w:hAnsi="Arial" w:cs="Arial"/>
      <w:sz w:val="20"/>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www.enron.com/" TargetMode="Externa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2001-08-30T12:17:00Z</dcterms:created>
  <dc:creator>ECT</dc:creator>
  <dc:description/>
  <dc:language>en-CA</dc:language>
  <cp:lastModifiedBy>mheard</cp:lastModifiedBy>
  <cp:lastPrinted>2001-08-30T10:29:00Z</cp:lastPrinted>
  <dcterms:modified xsi:type="dcterms:W3CDTF">2001-08-30T13:03:00Z</dcterms:modified>
  <cp:revision>5</cp:revision>
  <dc:subject>AIG Commodity Arbitrage Fund LP</dc:subject>
  <dc:title>V41967.5</dc:title>
</cp:coreProperties>
</file>