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06/26/2001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PETRO-HUNT, L.L.C., a limited liability company organized under the law of the State of ________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$3,000,000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(g)</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limited liability company (that is treated as a partnership for federal income tax purposes) organized under the laws of the State of _______________.</w:t>
      </w:r>
    </w:p>
    <w:p>
      <w:pPr>
        <w:pStyle w:val="Normal"/>
        <w:keepNext w:val="true"/>
        <w:spacing w:lineRule="exact" w:line="240" w:before="480" w:after="0"/>
        <w:jc w:val="both"/>
        <w:rPr>
          <w:sz w:val="22"/>
          <w:szCs w:val="22"/>
        </w:rPr>
      </w:pPr>
      <w:r>
        <w:rPr>
          <w:b/>
          <w:bCs/>
          <w:sz w:val="22"/>
          <w:szCs w:val="22"/>
        </w:rPr>
        <w:t>Part 3.  Agreement to Deliver Documents.</w:t>
      </w:r>
    </w:p>
    <w:p>
      <w:pPr>
        <w:pStyle w:val="Normal"/>
        <w:keepNext w:val="true"/>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sz w:val="22"/>
                <w:szCs w:val="22"/>
              </w:rPr>
              <w:t>Party A</w:t>
            </w:r>
          </w:p>
        </w:tc>
        <w:tc>
          <w:tcPr>
            <w:tcW w:w="3886" w:type="dxa"/>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keepNext w:val="true"/>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certificate of organization or formation and operating agreement or other constituent documents)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Petro-Hunt, L.L.C.</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3900 Thanksgiving Tower, 1601 Elm Street</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Dallas, Texas  75201-7254</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color w:val="FF0000"/>
          <w:sz w:val="22"/>
          <w:szCs w:val="22"/>
        </w:rPr>
      </w:pPr>
      <w:r>
        <w:rPr>
          <w:b/>
          <w:bCs/>
          <w:color w:val="FF0000"/>
          <w:sz w:val="22"/>
          <w:szCs w:val="22"/>
        </w:rPr>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(n)</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PETRO-HUNT, L.L.C.</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200_</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PETRO-HUNT, L.L.C., a limited liability company organized under the law of the State of 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Justified"/>
              <w:keepNext w:val="true"/>
              <w:keepLines/>
              <w:widowControl/>
              <w:spacing w:before="0" w:after="0"/>
              <w:rPr>
                <w:rFonts w:ascii="Times New Roman" w:hAnsi="Times New Roman" w:cs="Times New Roman"/>
              </w:rPr>
            </w:pPr>
            <w:r>
              <w:rPr>
                <w:rFonts w:cs="Times New Roman" w:ascii="Times New Roman" w:hAnsi="Times New Roman"/>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$20,000,000 and with respect to Party B, U.S. $3,000,000;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Party B and its Custodian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r>
        <w:rPr>
          <w:color w:val="993300"/>
          <w:sz w:val="22"/>
          <w:szCs w:val="22"/>
        </w:rPr>
        <w:t>]</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spacing w:lineRule="exact" w:line="240" w:before="240" w:after="0"/>
        <w:ind w:start="720" w:end="0"/>
        <w:jc w:val="both"/>
        <w:rPr>
          <w:i/>
          <w:i/>
          <w:iCs/>
          <w:sz w:val="22"/>
          <w:szCs w:val="22"/>
        </w:rPr>
      </w:pPr>
      <w:r>
        <w:rPr>
          <w:b/>
          <w:bCs/>
          <w:sz w:val="22"/>
          <w:szCs w:val="22"/>
        </w:rPr>
        <w:t>“</w:t>
      </w:r>
      <w:r>
        <w:rPr>
          <w:b/>
          <w:bCs/>
          <w:sz w:val="22"/>
          <w:szCs w:val="22"/>
        </w:rPr>
        <w:t>Depreciation, Depletion and Amortization Expense”</w:t>
      </w:r>
      <w:r>
        <w:rPr>
          <w:sz w:val="22"/>
          <w:szCs w:val="22"/>
        </w:rPr>
        <w:t xml:space="preserve"> means, with respect to Party B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bCs/>
          <w:i/>
          <w:i/>
          <w:iCs/>
          <w:sz w:val="22"/>
          <w:szCs w:val="22"/>
        </w:rPr>
      </w:pPr>
      <w:r>
        <w:rPr>
          <w:b/>
          <w:bCs/>
          <w:i/>
          <w:iCs/>
          <w:sz w:val="22"/>
          <w:szCs w:val="22"/>
        </w:rPr>
      </w:r>
    </w:p>
    <w:p>
      <w:pPr>
        <w:pStyle w:val="BodyText"/>
        <w:ind w:start="720" w:end="0"/>
        <w:jc w:val="both"/>
        <w:rPr/>
      </w:pPr>
      <w:r>
        <w:rPr>
          <w:b/>
          <w:bCs/>
        </w:rPr>
        <w:t>“</w:t>
      </w:r>
      <w:r>
        <w:rPr>
          <w:b/>
          <w:bCs/>
        </w:rPr>
        <w:t>EBITDA”</w:t>
      </w:r>
      <w:r>
        <w:rPr/>
        <w:t xml:space="preserve"> means, with respect to Party B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exact" w:line="240" w:before="240" w:after="0"/>
        <w:ind w:start="720" w:end="0"/>
        <w:jc w:val="both"/>
        <w:rPr/>
      </w:pPr>
      <w:r>
        <w:rPr>
          <w:b/>
          <w:bCs/>
          <w:sz w:val="22"/>
          <w:szCs w:val="22"/>
        </w:rPr>
        <w:t>“</w:t>
      </w:r>
      <w:r>
        <w:rPr>
          <w:b/>
          <w:bCs/>
          <w:sz w:val="22"/>
          <w:szCs w:val="22"/>
        </w:rPr>
        <w:t>EBITDA Coverage Ratio”</w:t>
      </w:r>
      <w:r>
        <w:rPr>
          <w:sz w:val="22"/>
          <w:szCs w:val="22"/>
        </w:rPr>
        <w:t xml:space="preserve"> means, with respect to any period, the ratio of (i) EBITDA for such period to (ii) the aggregate amount of Interest Expense for such period.</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Funded Debt”</w:t>
      </w:r>
      <w:r>
        <w:rPr>
          <w:sz w:val="22"/>
          <w:szCs w:val="22"/>
        </w:rPr>
        <w:t xml:space="preserve"> means consolidated indebtedness of Party B which by its terms matures more than one year from the date as of which any calculation of Funded Debt is made.</w:t>
      </w:r>
    </w:p>
    <w:p>
      <w:pPr>
        <w:pStyle w:val="Normal"/>
        <w:spacing w:lineRule="atLeast" w:line="240"/>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GAAP”</w:t>
      </w:r>
      <w:r>
        <w:rPr>
          <w:sz w:val="22"/>
          <w:szCs w:val="22"/>
        </w:rPr>
        <w:t xml:space="preserve"> means generally accepted accounting principles that are generally accepted in the country in which the applicable party is organized and on a basis consistent with prior periods.</w:t>
      </w:r>
    </w:p>
    <w:p>
      <w:pPr>
        <w:pStyle w:val="Normal"/>
        <w:spacing w:lineRule="exact" w:line="240" w:before="240" w:after="0"/>
        <w:ind w:start="720" w:end="0"/>
        <w:jc w:val="both"/>
        <w:rPr>
          <w:color w:val="FF0000"/>
          <w:sz w:val="22"/>
          <w:szCs w:val="22"/>
        </w:rPr>
      </w:pPr>
      <w:r>
        <w:rPr>
          <w:b/>
          <w:bCs/>
          <w:sz w:val="22"/>
          <w:szCs w:val="22"/>
        </w:rPr>
        <w:t>“</w:t>
      </w:r>
      <w:r>
        <w:rPr>
          <w:b/>
          <w:bCs/>
          <w:sz w:val="22"/>
          <w:szCs w:val="22"/>
        </w:rPr>
        <w:t>Interest Expense”</w:t>
      </w:r>
      <w:r>
        <w:rPr>
          <w:sz w:val="22"/>
          <w:szCs w:val="22"/>
        </w:rPr>
        <w:t xml:space="preserve"> means, for any period, without duplication, the total consolidated interest expense of Party B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p>
    <w:p>
      <w:pPr>
        <w:pStyle w:val="Normal"/>
        <w:ind w:start="720" w:end="0"/>
        <w:jc w:val="both"/>
        <w:rPr>
          <w:color w:val="FF0000"/>
          <w:sz w:val="22"/>
          <w:szCs w:val="22"/>
        </w:rPr>
      </w:pPr>
      <w:r>
        <w:rPr>
          <w:color w:val="FF0000"/>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(b) with respect to Party B, it shall have any of the following occur at any time: </w:t>
      </w:r>
      <w:r>
        <w:rPr>
          <w:color w:val="FF0000"/>
          <w:sz w:val="22"/>
          <w:szCs w:val="22"/>
        </w:rPr>
        <w:t xml:space="preserve"> </w:t>
      </w:r>
      <w:r>
        <w:rPr>
          <w:sz w:val="22"/>
          <w:szCs w:val="22"/>
        </w:rPr>
        <w:t>(i) the ratio of its Funded Debt to Net Worth is more than 1 to 1, or (ii) its EBITDA Coverage Ratio shall be less than 4 to 1.</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Net Income”</w:t>
      </w:r>
      <w:r>
        <w:rPr>
          <w:sz w:val="22"/>
          <w:szCs w:val="22"/>
        </w:rPr>
        <w:t xml:space="preserve"> means consolidated gross revenues of Party B and other proper income credits, less all proper income charges, including taxes on income, all determined in accordance with GAAP.</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144"/>
        <w:jc w:val="both"/>
        <w:rPr/>
      </w:pPr>
      <w:r>
        <w:rPr>
          <w:b/>
          <w:bCs/>
          <w:sz w:val="22"/>
          <w:szCs w:val="22"/>
        </w:rPr>
        <w:t>“</w:t>
      </w:r>
      <w:r>
        <w:rPr>
          <w:b/>
          <w:bCs/>
          <w:sz w:val="22"/>
          <w:szCs w:val="22"/>
        </w:rPr>
        <w:t>Net Worth”</w:t>
      </w:r>
      <w:r>
        <w:rPr>
          <w:sz w:val="22"/>
          <w:szCs w:val="22"/>
        </w:rPr>
        <w:t xml:space="preserve"> means consolidated total assets of Party B (exclusive of intangible assets), minus the consolidated total liabilities of Party B, each as would be reflected on a consolidated balance sheet of Party B prepared in accordance with GAAP.</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200__</w:t>
      </w:r>
      <w:r>
        <w:rPr>
          <w:sz w:val="22"/>
          <w:szCs w:val="22"/>
          <w:u w:val="single"/>
        </w:rPr>
        <w:t xml:space="preserve"> </w:t>
      </w:r>
      <w:r>
        <w:rPr>
          <w:sz w:val="22"/>
          <w:szCs w:val="22"/>
        </w:rPr>
        <w:t xml:space="preserve">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PETRO-HUNT, L.L.C., a </w:t>
      </w:r>
      <w:r>
        <w:rPr>
          <w:sz w:val="22"/>
          <w:szCs w:val="22"/>
          <w:u w:val="single"/>
        </w:rPr>
        <w:tab/>
        <w:tab/>
        <w:tab/>
      </w:r>
      <w:r>
        <w:rPr>
          <w:sz w:val="22"/>
          <w:szCs w:val="22"/>
        </w:rPr>
        <w:t xml:space="preserve"> limited liability company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Petro-Hunt, L.L.C.</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3900 Thanksgiving Tower</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1601 Elm Street</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Dallas, Texas  75201-7254</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Attn.: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headerReference w:type="default" r:id="rId12"/>
      <w:headerReference w:type="first" r:id="rId13"/>
      <w:footerReference w:type="default" r:id="rId14"/>
      <w:footerReference w:type="first" r:id="rId15"/>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/mnt/main-storage/datasets/enron-docs/doc/016ctr_petro_hunt_.doc</w:t>
    </w:r>
    <w:r>
      <w:rPr>
        <w:rStyle w:val="PageNumber"/>
        <w:sz w:val="16"/>
        <w:szCs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/mnt/main-storage/datasets/enron-docs/doc/016ctr_petro_hunt_.doc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/mnt/main-storage/datasets/enron-docs/doc/016ctr_petro_hunt_.doc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/mnt/main-storage/datasets/enron-docs/doc/016ctr_petro_hunt_.doc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A</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2001-06-26T16:35:00Z</dcterms:created>
  <dc:creator>mheard</dc:creator>
  <dc:description/>
  <dc:language>en-CA</dc:language>
  <cp:lastModifiedBy>mheard</cp:lastModifiedBy>
  <cp:lastPrinted>2001-06-29T14:20:00Z</cp:lastPrinted>
  <dcterms:modified xsi:type="dcterms:W3CDTF">2001-06-29T17:53:00Z</dcterms:modified>
  <cp:revision>6</cp:revision>
  <dc:subject/>
  <dc:title>ISDA Multicurrency Agreement</dc:title>
</cp:coreProperties>
</file>