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Cs w:val="17"/>
        </w:rPr>
      </w:pPr>
      <w:r>
        <w:rPr>
          <w:b/>
          <w:szCs w:val="17"/>
        </w:rPr>
        <w:t>DRAFT OF 08/28/01</w:t>
      </w:r>
    </w:p>
    <w:p>
      <w:pPr>
        <w:pStyle w:val="Normal"/>
        <w:jc w:val="end"/>
        <w:rPr>
          <w:b/>
          <w:szCs w:val="17"/>
        </w:rPr>
      </w:pPr>
      <w:r>
        <w:rPr>
          <w:b/>
          <w:szCs w:val="17"/>
        </w:rPr>
      </w:r>
    </w:p>
    <w:p>
      <w:pPr>
        <w:pStyle w:val="Normal"/>
        <w:jc w:val="end"/>
        <w:rPr>
          <w:b/>
          <w:szCs w:val="17"/>
        </w:rPr>
      </w:pPr>
      <w:r>
        <w:rPr>
          <w:b/>
          <w:szCs w:val="17"/>
        </w:rPr>
      </w:r>
    </w:p>
    <w:p>
      <w:pPr>
        <w:pStyle w:val="Normal"/>
        <w:jc w:val="center"/>
        <w:rPr>
          <w:szCs w:val="17"/>
        </w:rPr>
      </w:pPr>
      <w:r>
        <w:rPr>
          <w:szCs w:val="17"/>
        </w:rPr>
        <w:t>[ENA LETTERHEAD]</w:t>
      </w:r>
    </w:p>
    <w:p>
      <w:pPr>
        <w:pStyle w:val="Normal"/>
        <w:jc w:val="center"/>
        <w:rPr>
          <w:szCs w:val="17"/>
        </w:rPr>
      </w:pPr>
      <w:r>
        <w:rPr>
          <w:szCs w:val="17"/>
        </w:rPr>
      </w:r>
    </w:p>
    <w:p>
      <w:pPr>
        <w:pStyle w:val="Normal"/>
        <w:jc w:val="center"/>
        <w:rPr>
          <w:szCs w:val="17"/>
        </w:rPr>
      </w:pPr>
      <w:r>
        <w:rPr>
          <w:szCs w:val="17"/>
        </w:rPr>
      </w:r>
    </w:p>
    <w:p>
      <w:pPr>
        <w:pStyle w:val="Normal"/>
        <w:rPr>
          <w:szCs w:val="17"/>
        </w:rPr>
      </w:pPr>
      <w:r>
        <w:rPr>
          <w:szCs w:val="17"/>
        </w:rPr>
        <w:t>_________________, 2001</w:t>
      </w:r>
    </w:p>
    <w:p>
      <w:pPr>
        <w:pStyle w:val="Normal"/>
        <w:rPr>
          <w:szCs w:val="17"/>
        </w:rPr>
      </w:pPr>
      <w:r>
        <w:rPr>
          <w:szCs w:val="17"/>
        </w:rPr>
      </w:r>
    </w:p>
    <w:p>
      <w:pPr>
        <w:pStyle w:val="Index1"/>
        <w:rPr>
          <w:rFonts w:ascii="Times New Roman" w:hAnsi="Times New Roman" w:cs="Times New Roman"/>
          <w:szCs w:val="17"/>
        </w:rPr>
      </w:pPr>
      <w:r>
        <w:rPr>
          <w:rFonts w:cs="Times New Roman" w:ascii="Times New Roman" w:hAnsi="Times New Roman"/>
          <w:szCs w:val="17"/>
        </w:rPr>
        <w:t>Petroquim S.A.</w:t>
      </w:r>
    </w:p>
    <w:p>
      <w:pPr>
        <w:pStyle w:val="Normal"/>
        <w:rPr>
          <w:szCs w:val="17"/>
        </w:rPr>
      </w:pPr>
      <w:r>
        <w:rPr>
          <w:szCs w:val="17"/>
        </w:rPr>
        <w:t>________________</w:t>
      </w:r>
    </w:p>
    <w:p>
      <w:pPr>
        <w:pStyle w:val="Normal"/>
        <w:rPr>
          <w:szCs w:val="17"/>
        </w:rPr>
      </w:pPr>
      <w:r>
        <w:rPr>
          <w:szCs w:val="17"/>
        </w:rPr>
        <w:t>________________</w:t>
      </w:r>
    </w:p>
    <w:p>
      <w:pPr>
        <w:pStyle w:val="Normal"/>
        <w:rPr>
          <w:szCs w:val="17"/>
        </w:rPr>
      </w:pPr>
      <w:r>
        <w:rPr>
          <w:szCs w:val="17"/>
        </w:rPr>
        <w:t>Attention: _________________</w:t>
      </w:r>
    </w:p>
    <w:p>
      <w:pPr>
        <w:pStyle w:val="Normal"/>
        <w:rPr>
          <w:szCs w:val="17"/>
        </w:rPr>
      </w:pPr>
      <w:r>
        <w:rPr>
          <w:szCs w:val="17"/>
        </w:rPr>
      </w:r>
    </w:p>
    <w:p>
      <w:pPr>
        <w:pStyle w:val="Normal"/>
        <w:rPr>
          <w:szCs w:val="17"/>
        </w:rPr>
      </w:pPr>
      <w:r>
        <w:rPr>
          <w:szCs w:val="17"/>
        </w:rPr>
        <w:t>Fax No.:___________________</w:t>
      </w:r>
    </w:p>
    <w:p>
      <w:pPr>
        <w:pStyle w:val="Normal"/>
        <w:rPr>
          <w:szCs w:val="17"/>
        </w:rPr>
      </w:pPr>
      <w:r>
        <w:rPr>
          <w:szCs w:val="17"/>
        </w:rPr>
        <w:t>Telephone No.: _____________</w:t>
      </w:r>
    </w:p>
    <w:p>
      <w:pPr>
        <w:pStyle w:val="Index1"/>
        <w:rPr>
          <w:rFonts w:ascii="Times New Roman" w:hAnsi="Times New Roman" w:cs="Times New Roman"/>
          <w:szCs w:val="17"/>
        </w:rPr>
      </w:pPr>
      <w:r>
        <w:rPr>
          <w:rFonts w:cs="Times New Roman" w:ascii="Times New Roman" w:hAnsi="Times New Roman"/>
          <w:szCs w:val="17"/>
        </w:rPr>
      </w:r>
    </w:p>
    <w:p>
      <w:pPr>
        <w:pStyle w:val="Normal"/>
        <w:rPr>
          <w:szCs w:val="17"/>
        </w:rPr>
      </w:pPr>
      <w:r>
        <w:rPr>
          <w:szCs w:val="17"/>
        </w:rPr>
        <w:t>Re:</w:t>
        <w:tab/>
        <w:t>TRANSACTION ENA Contract No. _________</w:t>
      </w:r>
    </w:p>
    <w:p>
      <w:pPr>
        <w:pStyle w:val="Normal"/>
        <w:rPr>
          <w:szCs w:val="17"/>
        </w:rPr>
      </w:pPr>
      <w:r>
        <w:rPr>
          <w:szCs w:val="17"/>
        </w:rPr>
      </w:r>
    </w:p>
    <w:p>
      <w:pPr>
        <w:pStyle w:val="Normal"/>
        <w:rPr>
          <w:szCs w:val="17"/>
        </w:rPr>
      </w:pPr>
      <w:r>
        <w:rPr>
          <w:szCs w:val="17"/>
        </w:rPr>
        <w:t>Dear Sirs:</w:t>
      </w:r>
    </w:p>
    <w:p>
      <w:pPr>
        <w:pStyle w:val="Normal"/>
        <w:rPr>
          <w:szCs w:val="17"/>
        </w:rPr>
      </w:pPr>
      <w:r>
        <w:rPr>
          <w:szCs w:val="17"/>
        </w:rPr>
      </w:r>
    </w:p>
    <w:p>
      <w:pPr>
        <w:pStyle w:val="Justified"/>
        <w:spacing w:before="0" w:after="0"/>
        <w:rPr>
          <w:rFonts w:ascii="Times New Roman" w:hAnsi="Times New Roman" w:cs="Times New Roman"/>
          <w:sz w:val="20"/>
          <w:szCs w:val="17"/>
        </w:rPr>
      </w:pPr>
      <w:r>
        <w:rPr>
          <w:rFonts w:cs="Times New Roman" w:ascii="Times New Roman" w:hAnsi="Times New Roman"/>
          <w:sz w:val="20"/>
          <w:szCs w:val="17"/>
        </w:rPr>
        <w:t>The purpose of this document is to confirm the terms and conditions of the transaction entered into between Petroquim S.A. ("Counterparty") and Enron North America Corp. ("ENA") on ____________,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2001 between ___________ of ENA and ____________ of Counterparty.</w:t>
      </w:r>
    </w:p>
    <w:p>
      <w:pPr>
        <w:pStyle w:val="Normal"/>
        <w:jc w:val="both"/>
        <w:rPr>
          <w:rFonts w:ascii="Times New Roman" w:hAnsi="Times New Roman" w:cs="Times New Roman"/>
          <w:sz w:val="20"/>
          <w:szCs w:val="17"/>
        </w:rPr>
      </w:pPr>
      <w:r>
        <w:rPr>
          <w:rFonts w:cs="Times New Roman"/>
          <w:sz w:val="20"/>
          <w:szCs w:val="17"/>
        </w:rPr>
      </w:r>
    </w:p>
    <w:p>
      <w:pPr>
        <w:pStyle w:val="BodyText"/>
        <w:rPr>
          <w:szCs w:val="17"/>
        </w:rPr>
      </w:pPr>
      <w:r>
        <w:rPr>
          <w:szCs w:val="17"/>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szCs w:val="17"/>
        </w:rPr>
      </w:pPr>
      <w:r>
        <w:rPr>
          <w:szCs w:val="17"/>
        </w:rPr>
      </w:r>
    </w:p>
    <w:p>
      <w:pPr>
        <w:pStyle w:val="Normal"/>
        <w:jc w:val="both"/>
        <w:rPr/>
      </w:pPr>
      <w:r>
        <w:rPr>
          <w:szCs w:val="17"/>
        </w:rPr>
        <w:t>2.</w:t>
        <w:tab/>
      </w:r>
      <w:r>
        <w:rPr>
          <w:b/>
          <w:szCs w:val="17"/>
          <w:u w:val="single"/>
        </w:rPr>
        <w:t>Terms of Transaction</w:t>
      </w:r>
      <w:r>
        <w:rPr>
          <w:b/>
          <w:szCs w:val="17"/>
        </w:rPr>
        <w:t xml:space="preserve">.  </w:t>
      </w:r>
      <w:r>
        <w:rPr>
          <w:szCs w:val="17"/>
        </w:rPr>
        <w:t>The terms of the particular Transaction to which this Confirmation relates are as follows:</w:t>
      </w:r>
    </w:p>
    <w:p>
      <w:pPr>
        <w:pStyle w:val="Normal"/>
        <w:jc w:val="both"/>
        <w:rPr>
          <w:szCs w:val="17"/>
        </w:rPr>
      </w:pPr>
      <w:r>
        <w:rPr>
          <w:szCs w:val="17"/>
        </w:rPr>
      </w:r>
    </w:p>
    <w:p>
      <w:pPr>
        <w:pStyle w:val="Normal"/>
        <w:jc w:val="both"/>
        <w:rPr>
          <w:szCs w:val="17"/>
        </w:rPr>
      </w:pPr>
      <w:r>
        <w:rPr>
          <w:szCs w:val="17"/>
        </w:rPr>
        <w:t>Terms to be supplied by ENA Confirmation Desk</w:t>
      </w:r>
    </w:p>
    <w:p>
      <w:pPr>
        <w:pStyle w:val="Normal"/>
        <w:rPr>
          <w:szCs w:val="17"/>
        </w:rPr>
      </w:pPr>
      <w:r>
        <w:rPr>
          <w:szCs w:val="17"/>
        </w:rPr>
      </w:r>
    </w:p>
    <w:p>
      <w:pPr>
        <w:pStyle w:val="Normal"/>
        <w:rPr>
          <w:szCs w:val="17"/>
        </w:rPr>
      </w:pPr>
      <w:r>
        <w:rPr>
          <w:szCs w:val="17"/>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Cs w:val="17"/>
              </w:rPr>
            </w:pPr>
            <w:r>
              <w:rPr>
                <w:szCs w:val="17"/>
              </w:rPr>
            </w:r>
          </w:p>
          <w:p>
            <w:pPr>
              <w:pStyle w:val="Normal"/>
              <w:rPr>
                <w:szCs w:val="17"/>
              </w:rPr>
            </w:pPr>
            <w:r>
              <w:rPr>
                <w:szCs w:val="17"/>
              </w:rPr>
              <w:t xml:space="preserve">3.            </w:t>
            </w:r>
            <w:r>
              <w:rPr>
                <w:b/>
                <w:szCs w:val="17"/>
                <w:u w:val="single"/>
              </w:rPr>
              <w:t>Account Details.</w:t>
            </w:r>
          </w:p>
        </w:tc>
        <w:tc>
          <w:tcPr>
            <w:tcW w:w="4428" w:type="dxa"/>
            <w:tcBorders/>
          </w:tcPr>
          <w:p>
            <w:pPr>
              <w:pStyle w:val="Normal"/>
              <w:snapToGrid w:val="false"/>
              <w:rPr>
                <w:szCs w:val="17"/>
              </w:rPr>
            </w:pPr>
            <w:r>
              <w:rPr>
                <w:szCs w:val="17"/>
              </w:rPr>
            </w:r>
          </w:p>
        </w:tc>
      </w:tr>
      <w:tr>
        <w:trPr/>
        <w:tc>
          <w:tcPr>
            <w:tcW w:w="4428" w:type="dxa"/>
            <w:tcBorders/>
          </w:tcPr>
          <w:p>
            <w:pPr>
              <w:pStyle w:val="Normal"/>
              <w:snapToGrid w:val="false"/>
              <w:rPr>
                <w:szCs w:val="17"/>
              </w:rPr>
            </w:pPr>
            <w:r>
              <w:rPr>
                <w:szCs w:val="17"/>
              </w:rPr>
            </w:r>
          </w:p>
        </w:tc>
        <w:tc>
          <w:tcPr>
            <w:tcW w:w="4428" w:type="dxa"/>
            <w:tcBorders/>
          </w:tcPr>
          <w:p>
            <w:pPr>
              <w:pStyle w:val="Normal"/>
              <w:snapToGrid w:val="false"/>
              <w:rPr>
                <w:szCs w:val="17"/>
              </w:rPr>
            </w:pPr>
            <w:r>
              <w:rPr>
                <w:szCs w:val="17"/>
              </w:rPr>
            </w:r>
          </w:p>
        </w:tc>
      </w:tr>
      <w:tr>
        <w:trPr/>
        <w:tc>
          <w:tcPr>
            <w:tcW w:w="4428" w:type="dxa"/>
            <w:tcBorders/>
          </w:tcPr>
          <w:p>
            <w:pPr>
              <w:pStyle w:val="Normal"/>
              <w:rPr>
                <w:szCs w:val="17"/>
              </w:rPr>
            </w:pPr>
            <w:r>
              <w:rPr>
                <w:szCs w:val="17"/>
              </w:rPr>
              <w:tab/>
            </w:r>
            <w:r>
              <w:rPr>
                <w:szCs w:val="17"/>
                <w:u w:val="single"/>
              </w:rPr>
              <w:t>Payments to ENA:</w:t>
            </w:r>
          </w:p>
        </w:tc>
        <w:tc>
          <w:tcPr>
            <w:tcW w:w="4428" w:type="dxa"/>
            <w:tcBorders/>
          </w:tcPr>
          <w:p>
            <w:pPr>
              <w:pStyle w:val="Normal"/>
              <w:snapToGrid w:val="false"/>
              <w:rPr>
                <w:szCs w:val="17"/>
              </w:rPr>
            </w:pPr>
            <w:r>
              <w:rPr>
                <w:szCs w:val="17"/>
              </w:rPr>
            </w:r>
          </w:p>
        </w:tc>
      </w:tr>
      <w:tr>
        <w:trPr/>
        <w:tc>
          <w:tcPr>
            <w:tcW w:w="4428" w:type="dxa"/>
            <w:tcBorders/>
          </w:tcPr>
          <w:p>
            <w:pPr>
              <w:pStyle w:val="Normal"/>
              <w:snapToGrid w:val="false"/>
              <w:rPr>
                <w:szCs w:val="17"/>
              </w:rPr>
            </w:pPr>
            <w:r>
              <w:rPr>
                <w:szCs w:val="17"/>
              </w:rPr>
            </w:r>
          </w:p>
        </w:tc>
        <w:tc>
          <w:tcPr>
            <w:tcW w:w="4428" w:type="dxa"/>
            <w:tcBorders/>
          </w:tcPr>
          <w:p>
            <w:pPr>
              <w:pStyle w:val="Normal"/>
              <w:snapToGrid w:val="false"/>
              <w:rPr>
                <w:szCs w:val="17"/>
              </w:rPr>
            </w:pPr>
            <w:r>
              <w:rPr>
                <w:szCs w:val="17"/>
              </w:rPr>
            </w:r>
          </w:p>
        </w:tc>
      </w:tr>
    </w:tbl>
    <w:p>
      <w:pPr>
        <w:pStyle w:val="Normal"/>
        <w:rPr>
          <w:szCs w:val="17"/>
        </w:rPr>
      </w:pPr>
      <w:r>
        <w:rPr>
          <w:szCs w:val="17"/>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Cs w:val="17"/>
              </w:rPr>
            </w:pPr>
            <w:r>
              <w:rPr>
                <w:szCs w:val="17"/>
              </w:rPr>
              <w:t xml:space="preserve">Pay  </w:t>
            </w:r>
          </w:p>
        </w:tc>
        <w:tc>
          <w:tcPr>
            <w:tcW w:w="5490" w:type="dxa"/>
            <w:gridSpan w:val="2"/>
            <w:tcBorders/>
          </w:tcPr>
          <w:p>
            <w:pPr>
              <w:pStyle w:val="Normal"/>
              <w:tabs>
                <w:tab w:val="clear" w:pos="720"/>
                <w:tab w:val="left" w:pos="360" w:leader="none"/>
              </w:tabs>
              <w:ind w:hanging="360" w:start="360" w:end="0"/>
              <w:rPr>
                <w:szCs w:val="17"/>
              </w:rPr>
            </w:pPr>
            <w:r>
              <w:rPr>
                <w:szCs w:val="17"/>
              </w:rPr>
              <w:t>:</w:t>
              <w:tab/>
              <w:t>Bank of America, N.A.</w:t>
            </w:r>
          </w:p>
        </w:tc>
      </w:tr>
      <w:tr>
        <w:trPr/>
        <w:tc>
          <w:tcPr>
            <w:tcW w:w="5490" w:type="dxa"/>
            <w:tcBorders/>
          </w:tcPr>
          <w:p>
            <w:pPr>
              <w:pStyle w:val="Normal"/>
              <w:snapToGrid w:val="false"/>
              <w:ind w:hanging="2160" w:start="2862" w:end="0"/>
              <w:rPr>
                <w:szCs w:val="17"/>
              </w:rPr>
            </w:pPr>
            <w:r>
              <w:rPr>
                <w:szCs w:val="17"/>
              </w:rPr>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tc>
      </w:tr>
      <w:tr>
        <w:trPr/>
        <w:tc>
          <w:tcPr>
            <w:tcW w:w="5490" w:type="dxa"/>
            <w:tcBorders/>
          </w:tcPr>
          <w:p>
            <w:pPr>
              <w:pStyle w:val="Normal"/>
              <w:ind w:start="2862" w:end="0"/>
              <w:rPr>
                <w:szCs w:val="17"/>
              </w:rPr>
            </w:pPr>
            <w:r>
              <w:rPr>
                <w:szCs w:val="17"/>
              </w:rPr>
              <w:t>For the Account of</w:t>
            </w:r>
          </w:p>
        </w:tc>
        <w:tc>
          <w:tcPr>
            <w:tcW w:w="5490" w:type="dxa"/>
            <w:gridSpan w:val="2"/>
            <w:tcBorders/>
          </w:tcPr>
          <w:p>
            <w:pPr>
              <w:pStyle w:val="Normal"/>
              <w:tabs>
                <w:tab w:val="clear" w:pos="720"/>
                <w:tab w:val="left" w:pos="360" w:leader="none"/>
              </w:tabs>
              <w:ind w:hanging="360" w:start="360" w:end="0"/>
              <w:rPr>
                <w:szCs w:val="17"/>
              </w:rPr>
            </w:pPr>
            <w:r>
              <w:rPr>
                <w:szCs w:val="17"/>
              </w:rPr>
              <w:t>:</w:t>
              <w:tab/>
              <w:t>Enron North America Corp.</w:t>
            </w:r>
          </w:p>
        </w:tc>
      </w:tr>
      <w:tr>
        <w:trPr/>
        <w:tc>
          <w:tcPr>
            <w:tcW w:w="5490" w:type="dxa"/>
            <w:tcBorders/>
          </w:tcPr>
          <w:p>
            <w:pPr>
              <w:pStyle w:val="Normal"/>
              <w:snapToGrid w:val="false"/>
              <w:ind w:start="2862" w:end="0"/>
              <w:rPr>
                <w:szCs w:val="17"/>
              </w:rPr>
            </w:pPr>
            <w:r>
              <w:rPr>
                <w:szCs w:val="17"/>
              </w:rPr>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tc>
      </w:tr>
      <w:tr>
        <w:trPr/>
        <w:tc>
          <w:tcPr>
            <w:tcW w:w="5490" w:type="dxa"/>
            <w:tcBorders/>
          </w:tcPr>
          <w:p>
            <w:pPr>
              <w:pStyle w:val="Normal"/>
              <w:ind w:start="2862" w:end="0"/>
              <w:rPr>
                <w:szCs w:val="17"/>
              </w:rPr>
            </w:pPr>
            <w:r>
              <w:rPr>
                <w:szCs w:val="17"/>
              </w:rPr>
              <w:t>Account Number/</w:t>
            </w:r>
          </w:p>
          <w:p>
            <w:pPr>
              <w:pStyle w:val="Normal"/>
              <w:ind w:start="2862" w:end="0"/>
              <w:rPr>
                <w:szCs w:val="17"/>
              </w:rPr>
            </w:pPr>
            <w:r>
              <w:rPr>
                <w:szCs w:val="17"/>
              </w:rPr>
              <w:t>CHIPS UID</w:t>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p>
            <w:pPr>
              <w:pStyle w:val="Normal"/>
              <w:tabs>
                <w:tab w:val="clear" w:pos="720"/>
                <w:tab w:val="left" w:pos="360" w:leader="none"/>
              </w:tabs>
              <w:ind w:hanging="360" w:start="360" w:end="0"/>
              <w:rPr>
                <w:szCs w:val="17"/>
              </w:rPr>
            </w:pPr>
            <w:r>
              <w:rPr>
                <w:szCs w:val="17"/>
              </w:rPr>
              <w:t>:</w:t>
              <w:tab/>
              <w:t>3750494727</w:t>
            </w:r>
          </w:p>
        </w:tc>
      </w:tr>
      <w:tr>
        <w:trPr/>
        <w:tc>
          <w:tcPr>
            <w:tcW w:w="5490" w:type="dxa"/>
            <w:tcBorders/>
          </w:tcPr>
          <w:p>
            <w:pPr>
              <w:pStyle w:val="Normal"/>
              <w:snapToGrid w:val="false"/>
              <w:ind w:start="2862" w:end="0"/>
              <w:rPr>
                <w:szCs w:val="17"/>
              </w:rPr>
            </w:pPr>
            <w:r>
              <w:rPr>
                <w:szCs w:val="17"/>
              </w:rPr>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tc>
      </w:tr>
      <w:tr>
        <w:trPr/>
        <w:tc>
          <w:tcPr>
            <w:tcW w:w="5490" w:type="dxa"/>
            <w:tcBorders/>
          </w:tcPr>
          <w:p>
            <w:pPr>
              <w:pStyle w:val="Normal"/>
              <w:ind w:start="2862" w:end="0"/>
              <w:rPr>
                <w:szCs w:val="17"/>
              </w:rPr>
            </w:pPr>
            <w:r>
              <w:rPr>
                <w:szCs w:val="17"/>
              </w:rPr>
              <w:t>Fed. ABA No.</w:t>
            </w:r>
          </w:p>
        </w:tc>
        <w:tc>
          <w:tcPr>
            <w:tcW w:w="5490" w:type="dxa"/>
            <w:gridSpan w:val="2"/>
            <w:tcBorders/>
          </w:tcPr>
          <w:p>
            <w:pPr>
              <w:pStyle w:val="Normal"/>
              <w:tabs>
                <w:tab w:val="clear" w:pos="720"/>
                <w:tab w:val="left" w:pos="360" w:leader="none"/>
              </w:tabs>
              <w:ind w:hanging="360" w:start="360" w:end="0"/>
              <w:rPr>
                <w:szCs w:val="17"/>
              </w:rPr>
            </w:pPr>
            <w:r>
              <w:rPr>
                <w:szCs w:val="17"/>
              </w:rPr>
              <w:t>:</w:t>
              <w:tab/>
              <w:t>111000012</w:t>
            </w:r>
          </w:p>
        </w:tc>
      </w:tr>
      <w:tr>
        <w:trPr/>
        <w:tc>
          <w:tcPr>
            <w:tcW w:w="5499" w:type="dxa"/>
            <w:gridSpan w:val="2"/>
            <w:tcBorders/>
          </w:tcPr>
          <w:p>
            <w:pPr>
              <w:pStyle w:val="Normal"/>
              <w:snapToGrid w:val="false"/>
              <w:ind w:firstLine="90" w:start="2862" w:end="0"/>
              <w:rPr>
                <w:szCs w:val="17"/>
              </w:rPr>
            </w:pPr>
            <w:r>
              <w:rPr>
                <w:szCs w:val="17"/>
              </w:rPr>
            </w:r>
          </w:p>
        </w:tc>
        <w:tc>
          <w:tcPr>
            <w:tcW w:w="5499" w:type="dxa"/>
            <w:tcBorders/>
          </w:tcPr>
          <w:p>
            <w:pPr>
              <w:pStyle w:val="Normal"/>
              <w:snapToGrid w:val="false"/>
              <w:rPr>
                <w:szCs w:val="17"/>
              </w:rPr>
            </w:pPr>
            <w:r>
              <w:rPr>
                <w:szCs w:val="17"/>
              </w:rPr>
            </w:r>
          </w:p>
        </w:tc>
      </w:tr>
      <w:tr>
        <w:trPr/>
        <w:tc>
          <w:tcPr>
            <w:tcW w:w="5499" w:type="dxa"/>
            <w:gridSpan w:val="2"/>
            <w:tcBorders/>
          </w:tcPr>
          <w:p>
            <w:pPr>
              <w:pStyle w:val="Normal"/>
              <w:keepNext w:val="true"/>
              <w:ind w:hanging="2160" w:start="2862" w:end="0"/>
              <w:rPr>
                <w:szCs w:val="17"/>
              </w:rPr>
            </w:pPr>
            <w:r>
              <w:rPr>
                <w:szCs w:val="17"/>
              </w:rPr>
              <w:tab/>
            </w:r>
            <w:r>
              <w:rPr>
                <w:szCs w:val="17"/>
                <w:u w:val="single"/>
              </w:rPr>
              <w:t>Payments to Counterparty:</w:t>
            </w:r>
          </w:p>
        </w:tc>
        <w:tc>
          <w:tcPr>
            <w:tcW w:w="5499" w:type="dxa"/>
            <w:tcBorders/>
          </w:tcPr>
          <w:p>
            <w:pPr>
              <w:pStyle w:val="Normal"/>
              <w:keepNext w:val="true"/>
              <w:snapToGrid w:val="false"/>
              <w:rPr>
                <w:szCs w:val="17"/>
              </w:rPr>
            </w:pPr>
            <w:r>
              <w:rPr>
                <w:szCs w:val="17"/>
              </w:rPr>
            </w:r>
          </w:p>
        </w:tc>
      </w:tr>
      <w:tr>
        <w:trPr/>
        <w:tc>
          <w:tcPr>
            <w:tcW w:w="5499" w:type="dxa"/>
            <w:gridSpan w:val="2"/>
            <w:tcBorders/>
          </w:tcPr>
          <w:p>
            <w:pPr>
              <w:pStyle w:val="Normal"/>
              <w:keepNext w:val="true"/>
              <w:snapToGrid w:val="false"/>
              <w:ind w:hanging="2160" w:start="2862" w:end="0"/>
              <w:rPr>
                <w:szCs w:val="17"/>
              </w:rPr>
            </w:pPr>
            <w:r>
              <w:rPr>
                <w:szCs w:val="17"/>
              </w:rPr>
            </w:r>
          </w:p>
        </w:tc>
        <w:tc>
          <w:tcPr>
            <w:tcW w:w="5499" w:type="dxa"/>
            <w:tcBorders/>
          </w:tcPr>
          <w:p>
            <w:pPr>
              <w:pStyle w:val="Normal"/>
              <w:keepNext w:val="true"/>
              <w:snapToGrid w:val="false"/>
              <w:rPr>
                <w:szCs w:val="17"/>
              </w:rPr>
            </w:pPr>
            <w:r>
              <w:rPr>
                <w:szCs w:val="17"/>
              </w:rPr>
            </w:r>
          </w:p>
        </w:tc>
      </w:tr>
      <w:tr>
        <w:trPr/>
        <w:tc>
          <w:tcPr>
            <w:tcW w:w="5490" w:type="dxa"/>
            <w:tcBorders/>
          </w:tcPr>
          <w:p>
            <w:pPr>
              <w:pStyle w:val="Normal"/>
              <w:keepNext w:val="true"/>
              <w:ind w:start="2862" w:end="0"/>
              <w:rPr>
                <w:szCs w:val="17"/>
              </w:rPr>
            </w:pPr>
            <w:r>
              <w:rPr>
                <w:szCs w:val="17"/>
              </w:rPr>
              <w:t xml:space="preserve">Pay  </w:t>
            </w:r>
          </w:p>
        </w:tc>
        <w:tc>
          <w:tcPr>
            <w:tcW w:w="5490" w:type="dxa"/>
            <w:gridSpan w:val="2"/>
            <w:tcBorders/>
          </w:tcPr>
          <w:p>
            <w:pPr>
              <w:pStyle w:val="Normal"/>
              <w:keepNext w:val="true"/>
              <w:tabs>
                <w:tab w:val="clear" w:pos="720"/>
                <w:tab w:val="left" w:pos="360" w:leader="none"/>
              </w:tabs>
              <w:ind w:hanging="360" w:start="360" w:end="0"/>
              <w:rPr>
                <w:szCs w:val="17"/>
              </w:rPr>
            </w:pPr>
            <w:r>
              <w:rPr>
                <w:szCs w:val="17"/>
              </w:rPr>
              <w:t>:</w:t>
            </w:r>
          </w:p>
        </w:tc>
      </w:tr>
      <w:tr>
        <w:trPr/>
        <w:tc>
          <w:tcPr>
            <w:tcW w:w="5490" w:type="dxa"/>
            <w:tcBorders/>
          </w:tcPr>
          <w:p>
            <w:pPr>
              <w:pStyle w:val="Normal"/>
              <w:keepNext w:val="true"/>
              <w:snapToGrid w:val="false"/>
              <w:ind w:hanging="2160" w:start="2862" w:end="0"/>
              <w:rPr>
                <w:szCs w:val="17"/>
              </w:rPr>
            </w:pPr>
            <w:r>
              <w:rPr>
                <w:szCs w:val="17"/>
              </w:rPr>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tc>
      </w:tr>
      <w:tr>
        <w:trPr/>
        <w:tc>
          <w:tcPr>
            <w:tcW w:w="5490" w:type="dxa"/>
            <w:tcBorders/>
          </w:tcPr>
          <w:p>
            <w:pPr>
              <w:pStyle w:val="Normal"/>
              <w:keepNext w:val="true"/>
              <w:ind w:start="2862" w:end="0"/>
              <w:rPr>
                <w:szCs w:val="17"/>
              </w:rPr>
            </w:pPr>
            <w:r>
              <w:rPr>
                <w:szCs w:val="17"/>
              </w:rPr>
              <w:t>For the Account of</w:t>
            </w:r>
          </w:p>
        </w:tc>
        <w:tc>
          <w:tcPr>
            <w:tcW w:w="5490" w:type="dxa"/>
            <w:gridSpan w:val="2"/>
            <w:tcBorders/>
          </w:tcPr>
          <w:p>
            <w:pPr>
              <w:pStyle w:val="Normal"/>
              <w:keepNext w:val="true"/>
              <w:tabs>
                <w:tab w:val="clear" w:pos="720"/>
                <w:tab w:val="left" w:pos="360" w:leader="none"/>
              </w:tabs>
              <w:ind w:hanging="360" w:start="360" w:end="0"/>
              <w:rPr>
                <w:szCs w:val="17"/>
              </w:rPr>
            </w:pPr>
            <w:r>
              <w:rPr>
                <w:szCs w:val="17"/>
              </w:rPr>
              <w:t>:</w:t>
            </w:r>
          </w:p>
        </w:tc>
      </w:tr>
      <w:tr>
        <w:trPr/>
        <w:tc>
          <w:tcPr>
            <w:tcW w:w="5490" w:type="dxa"/>
            <w:tcBorders/>
          </w:tcPr>
          <w:p>
            <w:pPr>
              <w:pStyle w:val="Normal"/>
              <w:keepNext w:val="true"/>
              <w:snapToGrid w:val="false"/>
              <w:ind w:start="2862" w:end="0"/>
              <w:rPr>
                <w:szCs w:val="17"/>
              </w:rPr>
            </w:pPr>
            <w:r>
              <w:rPr>
                <w:szCs w:val="17"/>
              </w:rPr>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tc>
      </w:tr>
      <w:tr>
        <w:trPr/>
        <w:tc>
          <w:tcPr>
            <w:tcW w:w="5490" w:type="dxa"/>
            <w:tcBorders/>
          </w:tcPr>
          <w:p>
            <w:pPr>
              <w:pStyle w:val="Normal"/>
              <w:keepNext w:val="true"/>
              <w:ind w:start="2862" w:end="0"/>
              <w:rPr>
                <w:szCs w:val="17"/>
              </w:rPr>
            </w:pPr>
            <w:r>
              <w:rPr>
                <w:szCs w:val="17"/>
              </w:rPr>
              <w:t>Account Number/</w:t>
            </w:r>
          </w:p>
          <w:p>
            <w:pPr>
              <w:pStyle w:val="Normal"/>
              <w:keepNext w:val="true"/>
              <w:ind w:start="2862" w:end="0"/>
              <w:rPr>
                <w:szCs w:val="17"/>
              </w:rPr>
            </w:pPr>
            <w:r>
              <w:rPr>
                <w:szCs w:val="17"/>
              </w:rPr>
              <w:t>CHIPS UID</w:t>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p>
            <w:pPr>
              <w:pStyle w:val="Normal"/>
              <w:keepNext w:val="true"/>
              <w:tabs>
                <w:tab w:val="clear" w:pos="720"/>
                <w:tab w:val="left" w:pos="360" w:leader="none"/>
              </w:tabs>
              <w:ind w:hanging="360" w:start="360" w:end="0"/>
              <w:rPr>
                <w:szCs w:val="17"/>
              </w:rPr>
            </w:pPr>
            <w:r>
              <w:rPr>
                <w:szCs w:val="17"/>
              </w:rPr>
              <w:t>:</w:t>
            </w:r>
          </w:p>
        </w:tc>
      </w:tr>
      <w:tr>
        <w:trPr/>
        <w:tc>
          <w:tcPr>
            <w:tcW w:w="5490" w:type="dxa"/>
            <w:tcBorders/>
          </w:tcPr>
          <w:p>
            <w:pPr>
              <w:pStyle w:val="Normal"/>
              <w:keepNext w:val="true"/>
              <w:snapToGrid w:val="false"/>
              <w:ind w:start="2862" w:end="0"/>
              <w:rPr>
                <w:szCs w:val="17"/>
              </w:rPr>
            </w:pPr>
            <w:r>
              <w:rPr>
                <w:szCs w:val="17"/>
              </w:rPr>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tc>
      </w:tr>
      <w:tr>
        <w:trPr/>
        <w:tc>
          <w:tcPr>
            <w:tcW w:w="5490" w:type="dxa"/>
            <w:tcBorders/>
          </w:tcPr>
          <w:p>
            <w:pPr>
              <w:pStyle w:val="Normal"/>
              <w:keepNext w:val="true"/>
              <w:ind w:start="2862" w:end="0"/>
              <w:rPr>
                <w:szCs w:val="17"/>
              </w:rPr>
            </w:pPr>
            <w:r>
              <w:rPr>
                <w:szCs w:val="17"/>
              </w:rPr>
              <w:t>Fed. ABA No.</w:t>
            </w:r>
          </w:p>
        </w:tc>
        <w:tc>
          <w:tcPr>
            <w:tcW w:w="5490" w:type="dxa"/>
            <w:gridSpan w:val="2"/>
            <w:tcBorders/>
          </w:tcPr>
          <w:p>
            <w:pPr>
              <w:pStyle w:val="Normal"/>
              <w:keepNext w:val="true"/>
              <w:tabs>
                <w:tab w:val="clear" w:pos="720"/>
                <w:tab w:val="left" w:pos="360" w:leader="none"/>
              </w:tabs>
              <w:ind w:hanging="360" w:start="360" w:end="0"/>
              <w:rPr>
                <w:szCs w:val="17"/>
              </w:rPr>
            </w:pPr>
            <w:r>
              <w:rPr>
                <w:szCs w:val="17"/>
              </w:rPr>
              <w:t>:</w:t>
            </w:r>
          </w:p>
        </w:tc>
      </w:tr>
      <w:tr>
        <w:trPr/>
        <w:tc>
          <w:tcPr>
            <w:tcW w:w="5499" w:type="dxa"/>
            <w:gridSpan w:val="2"/>
            <w:tcBorders/>
          </w:tcPr>
          <w:p>
            <w:pPr>
              <w:pStyle w:val="Normal"/>
              <w:keepNext w:val="true"/>
              <w:snapToGrid w:val="false"/>
              <w:ind w:firstLine="90" w:start="2862" w:end="0"/>
              <w:rPr>
                <w:szCs w:val="17"/>
              </w:rPr>
            </w:pPr>
            <w:r>
              <w:rPr>
                <w:szCs w:val="17"/>
              </w:rPr>
            </w:r>
          </w:p>
        </w:tc>
        <w:tc>
          <w:tcPr>
            <w:tcW w:w="5499" w:type="dxa"/>
            <w:tcBorders/>
          </w:tcPr>
          <w:p>
            <w:pPr>
              <w:pStyle w:val="Normal"/>
              <w:keepNext w:val="true"/>
              <w:snapToGrid w:val="false"/>
              <w:rPr>
                <w:szCs w:val="17"/>
              </w:rPr>
            </w:pPr>
            <w:r>
              <w:rPr>
                <w:szCs w:val="17"/>
              </w:rPr>
            </w:r>
          </w:p>
        </w:tc>
      </w:tr>
      <w:tr>
        <w:trPr/>
        <w:tc>
          <w:tcPr>
            <w:tcW w:w="5499" w:type="dxa"/>
            <w:gridSpan w:val="2"/>
            <w:tcBorders/>
          </w:tcPr>
          <w:p>
            <w:pPr>
              <w:pStyle w:val="Normal"/>
              <w:keepNext w:val="true"/>
              <w:ind w:hanging="2160" w:start="2862" w:end="0"/>
              <w:rPr>
                <w:szCs w:val="17"/>
              </w:rPr>
            </w:pPr>
            <w:r>
              <w:rPr>
                <w:szCs w:val="17"/>
              </w:rPr>
              <w:tab/>
              <w:t xml:space="preserve">Attn:  </w:t>
            </w:r>
          </w:p>
        </w:tc>
        <w:tc>
          <w:tcPr>
            <w:tcW w:w="5499" w:type="dxa"/>
            <w:tcBorders/>
          </w:tcPr>
          <w:p>
            <w:pPr>
              <w:pStyle w:val="Normal"/>
              <w:keepNext w:val="true"/>
              <w:snapToGrid w:val="false"/>
              <w:rPr>
                <w:szCs w:val="17"/>
              </w:rPr>
            </w:pPr>
            <w:r>
              <w:rPr>
                <w:szCs w:val="17"/>
              </w:rPr>
            </w:r>
          </w:p>
        </w:tc>
      </w:tr>
      <w:tr>
        <w:trPr/>
        <w:tc>
          <w:tcPr>
            <w:tcW w:w="5499" w:type="dxa"/>
            <w:gridSpan w:val="2"/>
            <w:tcBorders/>
          </w:tcPr>
          <w:p>
            <w:pPr>
              <w:pStyle w:val="Normal"/>
              <w:keepNext w:val="true"/>
              <w:snapToGrid w:val="false"/>
              <w:ind w:hanging="2160" w:start="2862" w:end="0"/>
              <w:rPr>
                <w:szCs w:val="17"/>
              </w:rPr>
            </w:pPr>
            <w:r>
              <w:rPr>
                <w:szCs w:val="17"/>
              </w:rPr>
            </w:r>
          </w:p>
        </w:tc>
        <w:tc>
          <w:tcPr>
            <w:tcW w:w="5499" w:type="dxa"/>
            <w:tcBorders/>
          </w:tcPr>
          <w:p>
            <w:pPr>
              <w:pStyle w:val="Normal"/>
              <w:keepNext w:val="true"/>
              <w:snapToGrid w:val="false"/>
              <w:rPr>
                <w:szCs w:val="17"/>
              </w:rPr>
            </w:pPr>
            <w:r>
              <w:rPr>
                <w:szCs w:val="17"/>
              </w:rPr>
            </w:r>
          </w:p>
        </w:tc>
      </w:tr>
    </w:tbl>
    <w:p>
      <w:pPr>
        <w:pStyle w:val="Normal"/>
        <w:jc w:val="both"/>
        <w:rPr>
          <w:szCs w:val="17"/>
        </w:rPr>
      </w:pPr>
      <w:r>
        <w:rPr>
          <w:szCs w:val="17"/>
        </w:rPr>
      </w:r>
    </w:p>
    <w:p>
      <w:pPr>
        <w:pStyle w:val="Normal"/>
        <w:jc w:val="both"/>
        <w:rPr/>
      </w:pPr>
      <w:r>
        <w:rPr>
          <w:szCs w:val="17"/>
        </w:rPr>
        <w:t>4.</w:t>
        <w:tab/>
      </w:r>
      <w:r>
        <w:rPr>
          <w:b/>
          <w:szCs w:val="17"/>
          <w:u w:val="single"/>
        </w:rPr>
        <w:t>General</w:t>
      </w:r>
      <w:r>
        <w:rPr>
          <w:b/>
          <w:szCs w:val="17"/>
        </w:rPr>
        <w:t>.</w:t>
      </w:r>
      <w:r>
        <w:rPr>
          <w:szCs w:val="17"/>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Cs w:val="17"/>
        </w:rPr>
      </w:pPr>
      <w:r>
        <w:rPr>
          <w:szCs w:val="17"/>
        </w:rPr>
      </w:r>
    </w:p>
    <w:p>
      <w:pPr>
        <w:pStyle w:val="Normal"/>
        <w:jc w:val="both"/>
        <w:rPr>
          <w:szCs w:val="17"/>
        </w:rPr>
      </w:pPr>
      <w:r>
        <w:rPr>
          <w:szCs w:val="17"/>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szCs w:val="17"/>
        </w:rPr>
        <w:t>5.</w:t>
      </w:r>
      <w:r>
        <w:rPr>
          <w:b/>
          <w:szCs w:val="17"/>
        </w:rPr>
        <w:tab/>
        <w:tab/>
      </w:r>
      <w:r>
        <w:rPr>
          <w:b/>
          <w:szCs w:val="17"/>
          <w:u w:val="single"/>
        </w:rPr>
        <w:t>Representations</w:t>
      </w:r>
      <w:r>
        <w:rPr>
          <w:b/>
          <w:szCs w:val="17"/>
        </w:rPr>
        <w:t>.</w:t>
      </w:r>
      <w:r>
        <w:rPr>
          <w:szCs w:val="17"/>
        </w:rPr>
        <w:t xml:space="preserve">  To induce the other to enter into the Transaction, each party represents and warrants to the other that : (a) </w:t>
      </w:r>
      <w:r>
        <w:rPr>
          <w:szCs w:val="17"/>
          <w:u w:val="single"/>
        </w:rPr>
        <w:t>Authority</w:t>
      </w:r>
      <w:r>
        <w:rPr>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Cs w:val="17"/>
          <w:u w:val="single"/>
        </w:rPr>
        <w:t>Eligibility</w:t>
      </w:r>
      <w:r>
        <w:rPr>
          <w:szCs w:val="17"/>
        </w:rPr>
        <w:t xml:space="preserve">:  (i) it is a corporation, partnership, proprietorship, organization, trust or other entity not created solely to engage in swap transactions and has (i) total assets exceeding U.S. $10,000,000, or (ii) a net worth of U.S. $1,000,000; and (c) </w:t>
      </w:r>
      <w:r>
        <w:rPr>
          <w:szCs w:val="17"/>
          <w:u w:val="single"/>
        </w:rPr>
        <w:t>No Reliance and No Advisory Status</w:t>
      </w:r>
      <w:r>
        <w:rPr>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szCs w:val="17"/>
          <w:u w:val="single"/>
        </w:rPr>
        <w:t>Tax Representations and Covenants</w:t>
      </w:r>
      <w:r>
        <w:rPr>
          <w:szCs w:val="17"/>
        </w:rPr>
        <w:t xml:space="preserve">:  for purposes of Section 3(e) and 3(f) of the ISDA Agreement, each of the parties makes the representations applicable to it as set forth in Sections I(a) and (b) of </w:t>
      </w:r>
      <w:r>
        <w:rPr>
          <w:szCs w:val="17"/>
          <w:u w:val="single"/>
        </w:rPr>
        <w:t>Annex A</w:t>
      </w:r>
      <w:r>
        <w:rPr>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Cs w:val="17"/>
          <w:u w:val="single"/>
        </w:rPr>
        <w:t>Annex A</w:t>
      </w:r>
      <w:r>
        <w:rPr>
          <w:szCs w:val="17"/>
        </w:rPr>
        <w:t xml:space="preserve">), at all times until termination of the Transaction.  In addition, each party covenants and agrees that it will deliver to the other party the Tax forms, documents or certificates as required pursuant to Section II(a) of </w:t>
      </w:r>
      <w:r>
        <w:rPr>
          <w:szCs w:val="17"/>
          <w:u w:val="single"/>
        </w:rPr>
        <w:t>Annex A</w:t>
      </w:r>
      <w:r>
        <w:rPr>
          <w:szCs w:val="17"/>
        </w:rPr>
        <w:t>.</w:t>
      </w:r>
    </w:p>
    <w:p>
      <w:pPr>
        <w:pStyle w:val="Normal"/>
        <w:jc w:val="both"/>
        <w:rPr>
          <w:szCs w:val="17"/>
        </w:rPr>
      </w:pPr>
      <w:r>
        <w:rPr>
          <w:szCs w:val="17"/>
        </w:rPr>
      </w:r>
    </w:p>
    <w:p>
      <w:pPr>
        <w:pStyle w:val="Normal"/>
        <w:jc w:val="both"/>
        <w:rPr/>
      </w:pPr>
      <w:r>
        <w:rPr>
          <w:szCs w:val="17"/>
        </w:rPr>
        <w:t>6.</w:t>
        <w:tab/>
      </w:r>
      <w:r>
        <w:rPr>
          <w:b/>
          <w:szCs w:val="17"/>
          <w:u w:val="single"/>
        </w:rPr>
        <w:t>Early Termination</w:t>
      </w:r>
      <w:r>
        <w:rPr>
          <w:b/>
          <w:szCs w:val="17"/>
        </w:rPr>
        <w:t>.</w:t>
      </w:r>
      <w:r>
        <w:rPr>
          <w:szCs w:val="17"/>
        </w:rPr>
        <w:t xml:space="preserve">  For purposes of Section 6(e) of the ISDA Agreement, the Second Method and Loss shall apply.</w:t>
      </w:r>
    </w:p>
    <w:p>
      <w:pPr>
        <w:pStyle w:val="Normal"/>
        <w:jc w:val="both"/>
        <w:rPr>
          <w:szCs w:val="17"/>
        </w:rPr>
      </w:pPr>
      <w:r>
        <w:rPr>
          <w:szCs w:val="17"/>
        </w:rPr>
      </w:r>
    </w:p>
    <w:p>
      <w:pPr>
        <w:pStyle w:val="Normal"/>
        <w:jc w:val="both"/>
        <w:rPr/>
      </w:pPr>
      <w:r>
        <w:rPr>
          <w:szCs w:val="17"/>
        </w:rPr>
        <w:t>7.</w:t>
        <w:tab/>
      </w:r>
      <w:r>
        <w:rPr>
          <w:b/>
          <w:szCs w:val="17"/>
          <w:u w:val="single"/>
        </w:rPr>
        <w:t>Governing Law/Jurisdiction</w:t>
      </w:r>
      <w:r>
        <w:rPr>
          <w:b/>
          <w:szCs w:val="17"/>
        </w:rPr>
        <w:t>.</w:t>
      </w:r>
      <w:r>
        <w:rPr>
          <w:szCs w:val="17"/>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w:t>
      </w:r>
      <w:r>
        <w:rPr/>
        <w:t>finally settled under the Rules of Arbitration of the International Chamber of Commerce (the “Rules”)</w:t>
      </w:r>
      <w:r>
        <w:rPr>
          <w:szCs w:val="17"/>
        </w:rPr>
        <w:t>.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Rules.  The arbitration shall be conducted in Houston, Texas, the language of such proceedings shall be in English and such arbitration, and any related award shall be confidential."</w:t>
      </w:r>
    </w:p>
    <w:p>
      <w:pPr>
        <w:pStyle w:val="Normal"/>
        <w:jc w:val="both"/>
        <w:rPr>
          <w:szCs w:val="17"/>
        </w:rPr>
      </w:pPr>
      <w:r>
        <w:rPr>
          <w:szCs w:val="17"/>
        </w:rPr>
      </w:r>
    </w:p>
    <w:p>
      <w:pPr>
        <w:pStyle w:val="Normal"/>
        <w:jc w:val="both"/>
        <w:rPr/>
      </w:pPr>
      <w:r>
        <w:rPr>
          <w:szCs w:val="17"/>
        </w:rPr>
        <w:t>8.</w:t>
        <w:tab/>
      </w:r>
      <w:r>
        <w:rPr>
          <w:b/>
          <w:szCs w:val="17"/>
          <w:u w:val="single"/>
        </w:rPr>
        <w:t>Confidentiality</w:t>
      </w:r>
      <w:r>
        <w:rPr>
          <w:b/>
          <w:szCs w:val="17"/>
        </w:rPr>
        <w:t>.</w:t>
      </w:r>
      <w:r>
        <w:rPr>
          <w:szCs w:val="17"/>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Cs w:val="17"/>
        </w:rPr>
      </w:pPr>
      <w:r>
        <w:rPr>
          <w:szCs w:val="17"/>
        </w:rPr>
      </w:r>
    </w:p>
    <w:p>
      <w:pPr>
        <w:pStyle w:val="Normal"/>
        <w:jc w:val="both"/>
        <w:rPr/>
      </w:pPr>
      <w:r>
        <w:rPr>
          <w:szCs w:val="17"/>
        </w:rPr>
        <w:t>9.</w:t>
        <w:tab/>
      </w:r>
      <w:r>
        <w:rPr>
          <w:b/>
          <w:szCs w:val="17"/>
          <w:u w:val="single"/>
        </w:rPr>
        <w:t>Calculation Agent</w:t>
      </w:r>
      <w:r>
        <w:rPr>
          <w:b/>
          <w:szCs w:val="17"/>
        </w:rPr>
        <w:t>.</w:t>
      </w:r>
      <w:r>
        <w:rPr>
          <w:szCs w:val="17"/>
        </w:rPr>
        <w:t xml:space="preserve">  The Calculation Agent shall be ENA.</w:t>
      </w:r>
    </w:p>
    <w:p>
      <w:pPr>
        <w:pStyle w:val="Normal"/>
        <w:jc w:val="both"/>
        <w:rPr>
          <w:szCs w:val="17"/>
        </w:rPr>
      </w:pPr>
      <w:r>
        <w:rPr>
          <w:szCs w:val="17"/>
        </w:rPr>
      </w:r>
    </w:p>
    <w:p>
      <w:pPr>
        <w:pStyle w:val="Normal"/>
        <w:tabs>
          <w:tab w:val="left" w:pos="720" w:leader="none"/>
          <w:tab w:val="left" w:pos="1170" w:leader="none"/>
        </w:tabs>
        <w:jc w:val="both"/>
        <w:rPr/>
      </w:pPr>
      <w:r>
        <w:rPr>
          <w:szCs w:val="17"/>
        </w:rPr>
        <w:t>10.</w:t>
        <w:tab/>
      </w:r>
      <w:r>
        <w:rPr>
          <w:b/>
          <w:szCs w:val="17"/>
          <w:u w:val="single"/>
        </w:rPr>
        <w:t>Limitation of Liability</w:t>
      </w:r>
      <w:r>
        <w:rPr>
          <w:b/>
          <w:szCs w:val="17"/>
        </w:rPr>
        <w:t xml:space="preserve">. </w:t>
      </w:r>
      <w:r>
        <w:rPr>
          <w:szCs w:val="17"/>
        </w:rPr>
        <w:t xml:space="preserve">  </w:t>
      </w:r>
      <w:r>
        <w:rPr>
          <w:b/>
          <w:caps/>
          <w:szCs w:val="17"/>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Cs w:val="17"/>
        </w:rPr>
        <w:t xml:space="preserve"> </w:t>
      </w:r>
    </w:p>
    <w:p>
      <w:pPr>
        <w:pStyle w:val="Normal"/>
        <w:rPr>
          <w:szCs w:val="17"/>
        </w:rPr>
      </w:pPr>
      <w:r>
        <w:rPr>
          <w:szCs w:val="17"/>
        </w:rPr>
      </w:r>
    </w:p>
    <w:p>
      <w:pPr>
        <w:pStyle w:val="Normal"/>
        <w:jc w:val="both"/>
        <w:rPr/>
      </w:pPr>
      <w:r>
        <w:rPr>
          <w:szCs w:val="17"/>
        </w:rPr>
        <w:t>11.</w:t>
        <w:tab/>
      </w:r>
      <w:r>
        <w:rPr>
          <w:b/>
          <w:szCs w:val="17"/>
          <w:u w:val="single"/>
        </w:rPr>
        <w:t>Setoff</w:t>
      </w:r>
      <w:r>
        <w:rPr>
          <w:b/>
          <w:szCs w:val="17"/>
        </w:rPr>
        <w:t>.</w:t>
      </w:r>
      <w:r>
        <w:rPr>
          <w:szCs w:val="17"/>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Cs w:val="17"/>
        </w:rPr>
      </w:pPr>
      <w:r>
        <w:rPr>
          <w:szCs w:val="17"/>
        </w:rPr>
      </w:r>
    </w:p>
    <w:p>
      <w:pPr>
        <w:pStyle w:val="Normal"/>
        <w:ind w:firstLine="720" w:end="0"/>
        <w:jc w:val="both"/>
        <w:rPr>
          <w:szCs w:val="17"/>
        </w:rPr>
      </w:pPr>
      <w:r>
        <w:rPr>
          <w:szCs w:val="17"/>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Cs w:val="17"/>
        </w:rPr>
      </w:pPr>
      <w:r>
        <w:rPr>
          <w:szCs w:val="17"/>
        </w:rPr>
      </w:r>
    </w:p>
    <w:p>
      <w:pPr>
        <w:pStyle w:val="Normal"/>
        <w:rPr>
          <w:szCs w:val="17"/>
        </w:rPr>
      </w:pPr>
      <w:r>
        <w:rPr>
          <w:szCs w:val="17"/>
        </w:rPr>
        <w:t>12.</w:t>
        <w:tab/>
        <w:t>The Termination Currency shall be United States Dollars.</w:t>
      </w:r>
    </w:p>
    <w:p>
      <w:pPr>
        <w:pStyle w:val="Normal"/>
        <w:rPr>
          <w:szCs w:val="17"/>
        </w:rPr>
      </w:pPr>
      <w:r>
        <w:rPr>
          <w:szCs w:val="17"/>
        </w:rPr>
      </w:r>
    </w:p>
    <w:p>
      <w:pPr>
        <w:pStyle w:val="Normal"/>
        <w:jc w:val="both"/>
        <w:rPr/>
      </w:pPr>
      <w:r>
        <w:rPr>
          <w:szCs w:val="17"/>
        </w:rPr>
        <w:t>13.</w:t>
        <w:tab/>
      </w:r>
      <w:r>
        <w:rPr>
          <w:b/>
          <w:szCs w:val="17"/>
          <w:u w:val="single"/>
        </w:rPr>
        <w:t>Miscellaneous</w:t>
      </w:r>
      <w:r>
        <w:rPr>
          <w:b/>
          <w:szCs w:val="17"/>
        </w:rPr>
        <w:t>.</w:t>
      </w:r>
    </w:p>
    <w:p>
      <w:pPr>
        <w:pStyle w:val="Normal"/>
        <w:jc w:val="both"/>
        <w:rPr>
          <w:b/>
          <w:szCs w:val="17"/>
          <w:u w:val="single"/>
        </w:rPr>
      </w:pPr>
      <w:r>
        <w:rPr>
          <w:b/>
          <w:szCs w:val="17"/>
          <w:u w:val="single"/>
        </w:rPr>
      </w:r>
    </w:p>
    <w:p>
      <w:pPr>
        <w:pStyle w:val="Normal"/>
        <w:jc w:val="both"/>
        <w:rPr/>
      </w:pPr>
      <w:r>
        <w:rPr>
          <w:szCs w:val="17"/>
        </w:rPr>
        <w:t>a)</w:t>
      </w:r>
      <w:r>
        <w:rPr>
          <w:b/>
          <w:szCs w:val="17"/>
        </w:rPr>
        <w:t xml:space="preserve"> </w:t>
      </w:r>
      <w:r>
        <w:rPr>
          <w:b/>
          <w:szCs w:val="17"/>
          <w:u w:val="single"/>
        </w:rPr>
        <w:t>Additional Representations.</w:t>
      </w:r>
      <w:r>
        <w:rPr>
          <w:szCs w:val="17"/>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szCs w:val="17"/>
        </w:rPr>
        <w:t>(g)</w:t>
        <w:tab/>
      </w:r>
      <w:r>
        <w:rPr>
          <w:b/>
          <w:szCs w:val="17"/>
        </w:rPr>
        <w:t>ENA.</w:t>
      </w:r>
      <w:r>
        <w:rPr>
          <w:szCs w:val="17"/>
        </w:rPr>
        <w:t xml:space="preserve">  ENA hereby represents and warrants to Counterparty that:</w:t>
      </w:r>
    </w:p>
    <w:p>
      <w:pPr>
        <w:pStyle w:val="BodyTextIndent3"/>
        <w:numPr>
          <w:ilvl w:val="0"/>
          <w:numId w:val="3"/>
        </w:numPr>
        <w:spacing w:lineRule="auto" w:line="240" w:before="240" w:after="0"/>
        <w:rPr>
          <w:sz w:val="20"/>
          <w:szCs w:val="17"/>
        </w:rPr>
      </w:pPr>
      <w:r>
        <w:rPr>
          <w:sz w:val="20"/>
          <w:szCs w:val="17"/>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sz w:val="20"/>
          <w:szCs w:val="17"/>
        </w:rPr>
      </w:pPr>
      <w:r>
        <w:rPr>
          <w:rFonts w:cs="Times New Roman" w:ascii="Times New Roman" w:hAnsi="Times New Roman"/>
          <w:sz w:val="20"/>
          <w:szCs w:val="17"/>
        </w:rPr>
      </w:r>
    </w:p>
    <w:p>
      <w:pPr>
        <w:pStyle w:val="Heading2"/>
        <w:numPr>
          <w:ilvl w:val="0"/>
          <w:numId w:val="3"/>
        </w:numPr>
        <w:spacing w:before="0" w:after="0"/>
        <w:rPr>
          <w:rFonts w:ascii="Times New Roman" w:hAnsi="Times New Roman" w:cs="Times New Roman"/>
          <w:szCs w:val="17"/>
        </w:rPr>
      </w:pPr>
      <w:r>
        <w:rPr>
          <w:rFonts w:cs="Times New Roman" w:ascii="Times New Roman" w:hAnsi="Times New Roman"/>
          <w:szCs w:val="17"/>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3"/>
        </w:numPr>
        <w:spacing w:before="0" w:after="0"/>
        <w:rPr>
          <w:rFonts w:ascii="Times New Roman" w:hAnsi="Times New Roman" w:cs="Times New Roman"/>
          <w:szCs w:val="17"/>
        </w:rPr>
      </w:pPr>
      <w:r>
        <w:rPr>
          <w:rFonts w:cs="Times New Roman" w:ascii="Times New Roman" w:hAnsi="Times New Roman"/>
          <w:szCs w:val="17"/>
        </w:rPr>
        <w:t>It is legally and financially capable to undertake all of the obligations set forth herein.</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7"/>
        </w:numPr>
        <w:spacing w:before="0" w:after="0"/>
        <w:rPr>
          <w:rFonts w:ascii="Times New Roman" w:hAnsi="Times New Roman" w:cs="Times New Roman"/>
          <w:szCs w:val="17"/>
        </w:rPr>
      </w:pPr>
      <w:r>
        <w:rPr>
          <w:rFonts w:cs="Times New Roman" w:ascii="Times New Roman" w:hAnsi="Times New Roman"/>
          <w:szCs w:val="17"/>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7"/>
        </w:numPr>
        <w:spacing w:before="0" w:after="0"/>
        <w:rPr>
          <w:rFonts w:ascii="Times New Roman" w:hAnsi="Times New Roman" w:cs="Times New Roman"/>
          <w:szCs w:val="17"/>
        </w:rPr>
      </w:pPr>
      <w:r>
        <w:rPr>
          <w:rFonts w:cs="Times New Roman" w:ascii="Times New Roman" w:hAnsi="Times New Roman"/>
          <w:szCs w:val="17"/>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spacing w:before="0" w:after="0"/>
        <w:rPr/>
      </w:pPr>
      <w:r>
        <w:rPr>
          <w:rFonts w:cs="Times New Roman" w:ascii="Times New Roman" w:hAnsi="Times New Roman"/>
          <w:b/>
          <w:szCs w:val="17"/>
        </w:rPr>
        <w:t>Counterparty.</w:t>
      </w:r>
      <w:r>
        <w:rPr>
          <w:rFonts w:cs="Times New Roman" w:ascii="Times New Roman" w:hAnsi="Times New Roman"/>
          <w:szCs w:val="17"/>
        </w:rPr>
        <w:t xml:space="preserve">  Counterparty hereby represents and warrants to ENA that:</w:t>
      </w:r>
    </w:p>
    <w:p>
      <w:pPr>
        <w:pStyle w:val="Heading2"/>
        <w:spacing w:before="0" w:after="0"/>
        <w:rPr>
          <w:rFonts w:ascii="Times New Roman" w:hAnsi="Times New Roman" w:cs="Times New Roman"/>
          <w:szCs w:val="17"/>
        </w:rPr>
      </w:pPr>
      <w:r>
        <w:rPr>
          <w:rFonts w:cs="Times New Roman" w:ascii="Times New Roman" w:hAnsi="Times New Roman"/>
          <w:szCs w:val="17"/>
        </w:rPr>
      </w:r>
    </w:p>
    <w:p>
      <w:pPr>
        <w:pStyle w:val="Heading2"/>
        <w:numPr>
          <w:ilvl w:val="0"/>
          <w:numId w:val="6"/>
        </w:numPr>
        <w:spacing w:before="0" w:after="0"/>
        <w:rPr>
          <w:rFonts w:ascii="Times New Roman" w:hAnsi="Times New Roman" w:cs="Times New Roman"/>
          <w:szCs w:val="17"/>
        </w:rPr>
      </w:pPr>
      <w:r>
        <w:rPr>
          <w:rFonts w:cs="Times New Roman" w:ascii="Times New Roman" w:hAnsi="Times New Roman"/>
          <w:szCs w:val="17"/>
        </w:rPr>
        <w:t>It is a ______________________ duly organized and validly existing, pursuant to the laws of ____________, as evidenced by a certified copy of ________________________, and whose principal place of business is _____________________.</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6"/>
        </w:numPr>
        <w:spacing w:before="0" w:after="0"/>
        <w:rPr>
          <w:rFonts w:ascii="Times New Roman" w:hAnsi="Times New Roman" w:cs="Times New Roman"/>
          <w:szCs w:val="17"/>
        </w:rPr>
      </w:pPr>
      <w:r>
        <w:rPr>
          <w:rFonts w:cs="Times New Roman" w:ascii="Times New Roman" w:hAnsi="Times New Roman"/>
          <w:szCs w:val="17"/>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2"/>
        </w:numPr>
        <w:spacing w:before="0" w:after="0"/>
        <w:rPr>
          <w:rFonts w:ascii="Times New Roman" w:hAnsi="Times New Roman" w:cs="Times New Roman"/>
          <w:szCs w:val="17"/>
        </w:rPr>
      </w:pPr>
      <w:r>
        <w:rPr>
          <w:rFonts w:cs="Times New Roman" w:ascii="Times New Roman" w:hAnsi="Times New Roman"/>
          <w:szCs w:val="17"/>
        </w:rPr>
        <w:t>It is legally and financially capable to undertake all of the obligations set forth herein.</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2"/>
        </w:numPr>
        <w:spacing w:before="0" w:after="0"/>
        <w:rPr>
          <w:rFonts w:ascii="Times New Roman" w:hAnsi="Times New Roman" w:cs="Times New Roman"/>
          <w:szCs w:val="17"/>
        </w:rPr>
      </w:pPr>
      <w:r>
        <w:rPr>
          <w:rFonts w:cs="Times New Roman" w:ascii="Times New Roman" w:hAnsi="Times New Roman"/>
          <w:szCs w:val="17"/>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2"/>
        </w:numPr>
        <w:spacing w:before="0" w:after="0"/>
        <w:rPr>
          <w:rFonts w:ascii="Times New Roman" w:hAnsi="Times New Roman" w:cs="Times New Roman"/>
          <w:szCs w:val="17"/>
        </w:rPr>
      </w:pPr>
      <w:r>
        <w:rPr>
          <w:rFonts w:cs="Times New Roman" w:ascii="Times New Roman" w:hAnsi="Times New Roman"/>
          <w:szCs w:val="17"/>
        </w:rPr>
        <w:t>All corporate action necessary for the entering into and the execution of this Confirmation has been duly taken.</w:t>
      </w:r>
    </w:p>
    <w:p>
      <w:pPr>
        <w:pStyle w:val="Normal"/>
        <w:jc w:val="both"/>
        <w:rPr>
          <w:rFonts w:ascii="Times New Roman" w:hAnsi="Times New Roman" w:cs="Times New Roman"/>
          <w:szCs w:val="17"/>
        </w:rPr>
      </w:pPr>
      <w:r>
        <w:rPr>
          <w:rFonts w:cs="Times New Roman"/>
          <w:szCs w:val="17"/>
        </w:rPr>
      </w:r>
    </w:p>
    <w:p>
      <w:pPr>
        <w:pStyle w:val="Normal"/>
        <w:numPr>
          <w:ilvl w:val="0"/>
          <w:numId w:val="2"/>
        </w:numPr>
        <w:jc w:val="both"/>
        <w:rPr>
          <w:szCs w:val="17"/>
        </w:rPr>
      </w:pPr>
      <w:r>
        <w:rPr>
          <w:szCs w:val="17"/>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szCs w:val="17"/>
        </w:rPr>
      </w:pPr>
      <w:r>
        <w:rPr>
          <w:szCs w:val="17"/>
        </w:rPr>
      </w:r>
    </w:p>
    <w:p>
      <w:pPr>
        <w:pStyle w:val="Normal"/>
        <w:ind w:start="720" w:end="0"/>
        <w:jc w:val="both"/>
        <w:rPr>
          <w:szCs w:val="17"/>
        </w:rPr>
      </w:pPr>
      <w:r>
        <w:rPr>
          <w:szCs w:val="17"/>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szCs w:val="17"/>
        </w:rPr>
      </w:pPr>
      <w:r>
        <w:rPr>
          <w:szCs w:val="17"/>
        </w:rPr>
      </w:r>
    </w:p>
    <w:p>
      <w:pPr>
        <w:pStyle w:val="Normal"/>
        <w:jc w:val="both"/>
        <w:rPr/>
      </w:pPr>
      <w:r>
        <w:rPr>
          <w:szCs w:val="17"/>
        </w:rPr>
        <w:t>b)</w:t>
      </w:r>
      <w:r>
        <w:rPr>
          <w:b/>
          <w:szCs w:val="17"/>
        </w:rPr>
        <w:t xml:space="preserve"> </w:t>
      </w:r>
      <w:r>
        <w:rPr>
          <w:b/>
          <w:szCs w:val="17"/>
          <w:u w:val="single"/>
        </w:rPr>
        <w:t>Authorization.</w:t>
      </w:r>
      <w:r>
        <w:rPr>
          <w:szCs w:val="17"/>
        </w:rPr>
        <w:t xml:space="preserve"> For the purpose of Section 4(a) of the ISDA Agreement, upon execution of this Confirmation, Counterparty agrees to deliver to ENA:  (A) copies of its estatutos (or other constituent documents), (B) a certified copy of a Power of Attorney authorizing a specified person or persons to execute and deliver on its behalf this Confirmation, and (C) if applicable, a certified resolution of its board or directors or other governing body authorizing this Confirmation and the Transaction contemplated hereby. </w:t>
      </w:r>
    </w:p>
    <w:p>
      <w:pPr>
        <w:pStyle w:val="Normal"/>
        <w:jc w:val="both"/>
        <w:rPr>
          <w:szCs w:val="17"/>
        </w:rPr>
      </w:pPr>
      <w:r>
        <w:rPr>
          <w:szCs w:val="17"/>
        </w:rPr>
      </w:r>
    </w:p>
    <w:p>
      <w:pPr>
        <w:pStyle w:val="Normal"/>
        <w:jc w:val="both"/>
        <w:rPr/>
      </w:pPr>
      <w:r>
        <w:rPr>
          <w:szCs w:val="17"/>
        </w:rPr>
        <w:t xml:space="preserve">c) </w:t>
      </w:r>
      <w:r>
        <w:rPr>
          <w:b/>
          <w:szCs w:val="17"/>
          <w:u w:val="single"/>
        </w:rPr>
        <w:t>Legal Opinion.</w:t>
      </w:r>
      <w:r>
        <w:rPr>
          <w:szCs w:val="17"/>
        </w:rPr>
        <w:t xml:space="preserve"> For the purpose of Section 4(a) of the ISDA Agreement, upon execution of this Confirmation, Counterparty agrees to deliver to ENA a Legal Opinion in substantially the form attached hereto as Exhibit 1.</w:t>
      </w:r>
    </w:p>
    <w:p>
      <w:pPr>
        <w:pStyle w:val="Normal"/>
        <w:rPr>
          <w:szCs w:val="17"/>
        </w:rPr>
      </w:pPr>
      <w:r>
        <w:rPr>
          <w:szCs w:val="17"/>
        </w:rPr>
      </w:r>
    </w:p>
    <w:p>
      <w:pPr>
        <w:pStyle w:val="Normal"/>
        <w:rPr>
          <w:szCs w:val="17"/>
        </w:rPr>
      </w:pPr>
      <w:r>
        <w:rPr>
          <w:szCs w:val="17"/>
        </w:rPr>
        <w:t>14.</w:t>
        <w:tab/>
      </w:r>
      <w:r>
        <w:rPr>
          <w:b/>
          <w:szCs w:val="17"/>
          <w:u w:val="single"/>
        </w:rPr>
        <w:t>Offices</w:t>
      </w:r>
      <w:r>
        <w:rPr>
          <w:b/>
          <w:szCs w:val="17"/>
        </w:rPr>
        <w:t>.</w:t>
      </w:r>
    </w:p>
    <w:p>
      <w:pPr>
        <w:pStyle w:val="Normal"/>
        <w:keepNext w:val="true"/>
        <w:rPr>
          <w:szCs w:val="17"/>
        </w:rPr>
      </w:pPr>
      <w:r>
        <w:rPr>
          <w:szCs w:val="17"/>
        </w:rPr>
      </w:r>
    </w:p>
    <w:p>
      <w:pPr>
        <w:pStyle w:val="Normal"/>
        <w:keepNext w:val="true"/>
        <w:jc w:val="both"/>
        <w:rPr>
          <w:szCs w:val="17"/>
        </w:rPr>
      </w:pPr>
      <w:r>
        <w:rPr>
          <w:szCs w:val="17"/>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Cs w:val="17"/>
        </w:rPr>
      </w:pPr>
      <w:r>
        <w:rPr>
          <w:szCs w:val="17"/>
        </w:rPr>
      </w:r>
    </w:p>
    <w:p>
      <w:pPr>
        <w:pStyle w:val="Normal"/>
        <w:jc w:val="both"/>
        <w:rPr>
          <w:szCs w:val="17"/>
        </w:rPr>
      </w:pPr>
      <w:r>
        <w:rPr>
          <w:szCs w:val="17"/>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Cs w:val="17"/>
        </w:rPr>
      </w:pPr>
      <w:r>
        <w:rPr>
          <w:szCs w:val="17"/>
        </w:rPr>
      </w:r>
    </w:p>
    <w:p>
      <w:pPr>
        <w:pStyle w:val="Normal"/>
        <w:spacing w:lineRule="exact" w:line="240" w:before="240" w:after="0"/>
        <w:jc w:val="both"/>
        <w:rPr/>
      </w:pPr>
      <w:r>
        <w:rPr>
          <w:szCs w:val="17"/>
        </w:rPr>
        <w:t>15.</w:t>
        <w:tab/>
      </w:r>
      <w:r>
        <w:rPr>
          <w:b/>
          <w:bCs/>
          <w:szCs w:val="22"/>
          <w:u w:val="single"/>
        </w:rPr>
        <w:t>Process Agent</w:t>
      </w:r>
      <w:r>
        <w:rPr>
          <w:b/>
          <w:bCs/>
          <w:szCs w:val="22"/>
        </w:rPr>
        <w:t>.</w:t>
      </w:r>
      <w:r>
        <w:rPr>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jc w:val="both"/>
        <w:rPr>
          <w:b/>
          <w:bCs/>
          <w:color w:val="0000FF"/>
          <w:szCs w:val="17"/>
          <w:u w:val="single"/>
        </w:rPr>
      </w:pPr>
      <w:r>
        <w:rPr>
          <w:b/>
          <w:bCs/>
          <w:color w:val="0000FF"/>
          <w:szCs w:val="17"/>
          <w:u w:val="single"/>
        </w:rPr>
      </w:r>
    </w:p>
    <w:p>
      <w:pPr>
        <w:pStyle w:val="Normal"/>
        <w:keepNext w:val="true"/>
        <w:jc w:val="both"/>
        <w:rPr>
          <w:b/>
          <w:szCs w:val="17"/>
          <w:u w:val="single"/>
        </w:rPr>
      </w:pPr>
      <w:r>
        <w:rPr>
          <w:szCs w:val="17"/>
        </w:rPr>
        <w:t>16.</w:t>
        <w:tab/>
      </w:r>
      <w:r>
        <w:rPr>
          <w:b/>
          <w:szCs w:val="17"/>
          <w:u w:val="single"/>
        </w:rPr>
        <w:t>Credit or Other Special Provisions</w:t>
      </w:r>
      <w:r>
        <w:rPr>
          <w:b/>
          <w:szCs w:val="17"/>
        </w:rPr>
        <w:t>.</w:t>
      </w:r>
    </w:p>
    <w:p>
      <w:pPr>
        <w:pStyle w:val="Normal"/>
        <w:keepNext w:val="true"/>
        <w:jc w:val="both"/>
        <w:rPr>
          <w:b/>
          <w:szCs w:val="17"/>
          <w:u w:val="single"/>
        </w:rPr>
      </w:pPr>
      <w:r>
        <w:rPr>
          <w:b/>
          <w:szCs w:val="17"/>
          <w:u w:val="single"/>
        </w:rPr>
      </w:r>
    </w:p>
    <w:p>
      <w:pPr>
        <w:pStyle w:val="Normal"/>
        <w:keepNext w:val="true"/>
        <w:jc w:val="both"/>
        <w:rPr>
          <w:szCs w:val="17"/>
        </w:rPr>
      </w:pPr>
      <w:r>
        <w:rPr>
          <w:szCs w:val="17"/>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Cs w:val="17"/>
        </w:rPr>
      </w:pPr>
      <w:r>
        <w:rPr>
          <w:szCs w:val="17"/>
        </w:rPr>
      </w:r>
    </w:p>
    <w:p>
      <w:pPr>
        <w:pStyle w:val="BodyText"/>
        <w:rPr>
          <w:szCs w:val="17"/>
        </w:rPr>
      </w:pPr>
      <w:r>
        <w:rPr>
          <w:szCs w:val="17"/>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Cs w:val="17"/>
        </w:rPr>
      </w:pPr>
      <w:r>
        <w:rPr>
          <w:szCs w:val="17"/>
        </w:rPr>
        <w:t>Enron North America Corp. is pleased to have entered into this Transaction with you.</w:t>
      </w:r>
    </w:p>
    <w:p>
      <w:pPr>
        <w:pStyle w:val="Normal"/>
        <w:rPr>
          <w:szCs w:val="17"/>
        </w:rPr>
      </w:pPr>
      <w:r>
        <w:rPr>
          <w:szCs w:val="17"/>
        </w:rPr>
      </w:r>
    </w:p>
    <w:p>
      <w:pPr>
        <w:pStyle w:val="Index1"/>
        <w:keepNext w:val="true"/>
        <w:rPr>
          <w:rFonts w:ascii="Times New Roman" w:hAnsi="Times New Roman" w:cs="Times New Roman"/>
          <w:szCs w:val="17"/>
        </w:rPr>
      </w:pPr>
      <w:r>
        <w:rPr>
          <w:rFonts w:cs="Times New Roman" w:ascii="Times New Roman" w:hAnsi="Times New Roman"/>
          <w:szCs w:val="17"/>
        </w:rPr>
        <w:t>Yours sincerely,</w:t>
      </w:r>
    </w:p>
    <w:p>
      <w:pPr>
        <w:pStyle w:val="Normal"/>
        <w:keepNext w:val="true"/>
        <w:rPr>
          <w:rFonts w:ascii="Times New Roman" w:hAnsi="Times New Roman" w:cs="Times New Roman"/>
          <w:szCs w:val="17"/>
        </w:rPr>
      </w:pPr>
      <w:r>
        <w:rPr>
          <w:rFonts w:cs="Times New Roman"/>
          <w:szCs w:val="17"/>
        </w:rPr>
      </w:r>
    </w:p>
    <w:p>
      <w:pPr>
        <w:pStyle w:val="Normal"/>
        <w:keepNext w:val="true"/>
        <w:rPr>
          <w:b/>
          <w:szCs w:val="17"/>
        </w:rPr>
      </w:pPr>
      <w:r>
        <w:rPr>
          <w:b/>
          <w:szCs w:val="17"/>
        </w:rPr>
        <w:t>ENRON NORTH AMERICA CORP.</w:t>
      </w:r>
    </w:p>
    <w:p>
      <w:pPr>
        <w:pStyle w:val="Normal"/>
        <w:keepNext w:val="true"/>
        <w:rPr>
          <w:b/>
          <w:szCs w:val="17"/>
        </w:rPr>
      </w:pPr>
      <w:r>
        <w:rPr>
          <w:b/>
          <w:szCs w:val="17"/>
        </w:rPr>
      </w:r>
    </w:p>
    <w:p>
      <w:pPr>
        <w:pStyle w:val="Normal"/>
        <w:keepNext w:val="true"/>
        <w:rPr>
          <w:szCs w:val="17"/>
        </w:rPr>
      </w:pPr>
      <w:r>
        <w:rPr>
          <w:szCs w:val="17"/>
        </w:rPr>
        <w:t>By:</w:t>
        <w:tab/>
        <w:t>_____________________________</w:t>
      </w:r>
    </w:p>
    <w:p>
      <w:pPr>
        <w:pStyle w:val="Normal"/>
        <w:keepNext w:val="true"/>
        <w:rPr>
          <w:szCs w:val="17"/>
        </w:rPr>
      </w:pPr>
      <w:r>
        <w:rPr>
          <w:szCs w:val="17"/>
        </w:rPr>
        <w:t>Name:</w:t>
        <w:tab/>
        <w:t>_____________________________</w:t>
      </w:r>
    </w:p>
    <w:p>
      <w:pPr>
        <w:pStyle w:val="Normal"/>
        <w:keepNext w:val="true"/>
        <w:rPr>
          <w:szCs w:val="17"/>
        </w:rPr>
      </w:pPr>
      <w:r>
        <w:rPr>
          <w:szCs w:val="17"/>
        </w:rPr>
        <w:t>Title:</w:t>
        <w:tab/>
        <w:t>_____________________________</w:t>
      </w:r>
    </w:p>
    <w:p>
      <w:pPr>
        <w:pStyle w:val="Normal"/>
        <w:keepNext w:val="true"/>
        <w:rPr>
          <w:szCs w:val="17"/>
        </w:rPr>
      </w:pPr>
      <w:r>
        <w:rPr>
          <w:szCs w:val="17"/>
        </w:rPr>
      </w:r>
    </w:p>
    <w:p>
      <w:pPr>
        <w:pStyle w:val="Normal"/>
        <w:keepNext w:val="true"/>
        <w:rPr>
          <w:szCs w:val="17"/>
        </w:rPr>
      </w:pPr>
      <w:r>
        <w:rPr>
          <w:szCs w:val="17"/>
        </w:rPr>
        <w:t>Confirmed as of the Trade Date:</w:t>
      </w:r>
    </w:p>
    <w:p>
      <w:pPr>
        <w:pStyle w:val="Normal"/>
        <w:keepNext w:val="true"/>
        <w:rPr>
          <w:szCs w:val="17"/>
        </w:rPr>
      </w:pPr>
      <w:r>
        <w:rPr>
          <w:szCs w:val="17"/>
        </w:rPr>
      </w:r>
    </w:p>
    <w:p>
      <w:pPr>
        <w:pStyle w:val="Normal"/>
        <w:keepNext w:val="true"/>
        <w:rPr>
          <w:szCs w:val="17"/>
        </w:rPr>
      </w:pPr>
      <w:r>
        <w:rPr>
          <w:b/>
          <w:szCs w:val="17"/>
        </w:rPr>
        <w:t>PETROQUIM S.A.</w:t>
      </w:r>
    </w:p>
    <w:p>
      <w:pPr>
        <w:pStyle w:val="Normal"/>
        <w:keepNext w:val="true"/>
        <w:rPr>
          <w:szCs w:val="17"/>
        </w:rPr>
      </w:pPr>
      <w:r>
        <w:rPr>
          <w:szCs w:val="17"/>
        </w:rPr>
      </w:r>
    </w:p>
    <w:p>
      <w:pPr>
        <w:pStyle w:val="Normal"/>
        <w:keepNext w:val="true"/>
        <w:rPr>
          <w:szCs w:val="17"/>
        </w:rPr>
      </w:pPr>
      <w:r>
        <w:rPr>
          <w:szCs w:val="17"/>
        </w:rPr>
        <w:t>By:</w:t>
        <w:tab/>
        <w:t>_____________________________</w:t>
      </w:r>
    </w:p>
    <w:p>
      <w:pPr>
        <w:pStyle w:val="Normal"/>
        <w:keepNext w:val="true"/>
        <w:rPr>
          <w:szCs w:val="17"/>
        </w:rPr>
      </w:pPr>
      <w:r>
        <w:rPr>
          <w:szCs w:val="17"/>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szCs w:val="17"/>
        </w:rPr>
      </w:pPr>
      <w:r>
        <w:rPr>
          <w:szCs w:val="17"/>
        </w:rPr>
        <w:t>Title:</w:t>
        <w:tab/>
        <w:t>_____________________________</w:t>
      </w:r>
    </w:p>
    <w:p>
      <w:pPr>
        <w:pStyle w:val="Normal"/>
        <w:keepNext w:val="true"/>
        <w:jc w:val="center"/>
        <w:rPr>
          <w:b/>
          <w:color w:val="000000"/>
          <w:szCs w:val="17"/>
          <w:u w:val="single"/>
        </w:rPr>
      </w:pPr>
      <w:r>
        <w:rPr>
          <w:b/>
          <w:color w:val="000000"/>
          <w:szCs w:val="17"/>
          <w:u w:val="single"/>
        </w:rPr>
        <w:t>EXHIBIT 1</w:t>
      </w:r>
    </w:p>
    <w:p>
      <w:pPr>
        <w:pStyle w:val="Normal"/>
        <w:keepNext w:val="true"/>
        <w:jc w:val="end"/>
        <w:rPr>
          <w:b/>
          <w:color w:val="000000"/>
          <w:szCs w:val="17"/>
          <w:u w:val="single"/>
        </w:rPr>
      </w:pPr>
      <w:r>
        <w:rPr>
          <w:b/>
          <w:color w:val="000000"/>
          <w:szCs w:val="17"/>
          <w:u w:val="single"/>
        </w:rPr>
      </w:r>
    </w:p>
    <w:p>
      <w:pPr>
        <w:pStyle w:val="Normal"/>
        <w:rPr>
          <w:color w:val="000000"/>
          <w:szCs w:val="17"/>
        </w:rPr>
      </w:pPr>
      <w:r>
        <w:rPr>
          <w:color w:val="000000"/>
          <w:szCs w:val="17"/>
        </w:rPr>
      </w:r>
    </w:p>
    <w:p>
      <w:pPr>
        <w:pStyle w:val="Normal"/>
        <w:jc w:val="center"/>
        <w:rPr>
          <w:szCs w:val="17"/>
        </w:rPr>
      </w:pPr>
      <w:r>
        <w:rPr>
          <w:szCs w:val="17"/>
        </w:rPr>
        <w:t>[Letterhead of</w:t>
      </w:r>
    </w:p>
    <w:p>
      <w:pPr>
        <w:pStyle w:val="Normal"/>
        <w:jc w:val="center"/>
        <w:rPr>
          <w:szCs w:val="17"/>
        </w:rPr>
      </w:pPr>
      <w:r>
        <w:rPr>
          <w:szCs w:val="17"/>
        </w:rPr>
        <w:t>Counsel to Counterparty]</w:t>
      </w:r>
    </w:p>
    <w:p>
      <w:pPr>
        <w:pStyle w:val="Normal"/>
        <w:jc w:val="center"/>
        <w:rPr>
          <w:szCs w:val="17"/>
        </w:rPr>
      </w:pPr>
      <w:r>
        <w:rPr>
          <w:szCs w:val="17"/>
        </w:rPr>
      </w:r>
    </w:p>
    <w:p>
      <w:pPr>
        <w:pStyle w:val="Normal"/>
        <w:jc w:val="center"/>
        <w:rPr>
          <w:szCs w:val="17"/>
        </w:rPr>
      </w:pPr>
      <w:r>
        <w:rPr>
          <w:szCs w:val="17"/>
        </w:rPr>
      </w:r>
    </w:p>
    <w:p>
      <w:pPr>
        <w:pStyle w:val="Normal"/>
        <w:jc w:val="center"/>
        <w:rPr>
          <w:szCs w:val="17"/>
        </w:rPr>
      </w:pPr>
      <w:r>
        <w:rPr>
          <w:szCs w:val="17"/>
        </w:rPr>
        <w:t>[Date]</w:t>
      </w:r>
    </w:p>
    <w:p>
      <w:pPr>
        <w:pStyle w:val="Normal"/>
        <w:jc w:val="center"/>
        <w:rPr>
          <w:szCs w:val="17"/>
        </w:rPr>
      </w:pPr>
      <w:r>
        <w:rPr>
          <w:szCs w:val="17"/>
        </w:rPr>
      </w:r>
    </w:p>
    <w:p>
      <w:pPr>
        <w:pStyle w:val="Normal"/>
        <w:jc w:val="center"/>
        <w:rPr>
          <w:szCs w:val="17"/>
        </w:rPr>
      </w:pPr>
      <w:r>
        <w:rPr>
          <w:szCs w:val="17"/>
        </w:rPr>
      </w:r>
    </w:p>
    <w:p>
      <w:pPr>
        <w:pStyle w:val="Normal"/>
        <w:rPr>
          <w:szCs w:val="17"/>
        </w:rPr>
      </w:pPr>
      <w:r>
        <w:rPr>
          <w:szCs w:val="17"/>
        </w:rPr>
        <w:t>Enron North America Corp.</w:t>
      </w:r>
    </w:p>
    <w:p>
      <w:pPr>
        <w:pStyle w:val="Normal"/>
        <w:rPr>
          <w:szCs w:val="17"/>
        </w:rPr>
      </w:pPr>
      <w:r>
        <w:rPr>
          <w:szCs w:val="17"/>
        </w:rPr>
        <w:t>1400 Smith Street</w:t>
      </w:r>
    </w:p>
    <w:p>
      <w:pPr>
        <w:pStyle w:val="Index1"/>
        <w:rPr>
          <w:rFonts w:ascii="Times New Roman" w:hAnsi="Times New Roman" w:cs="Times New Roman"/>
          <w:szCs w:val="17"/>
        </w:rPr>
      </w:pPr>
      <w:r>
        <w:rPr>
          <w:rFonts w:cs="Times New Roman" w:ascii="Times New Roman" w:hAnsi="Times New Roman"/>
          <w:szCs w:val="17"/>
        </w:rPr>
        <w:t>Houston, Texas 77002</w:t>
      </w:r>
    </w:p>
    <w:p>
      <w:pPr>
        <w:pStyle w:val="Normal"/>
        <w:rPr>
          <w:rFonts w:ascii="Times New Roman" w:hAnsi="Times New Roman" w:cs="Times New Roman"/>
          <w:szCs w:val="17"/>
        </w:rPr>
      </w:pPr>
      <w:r>
        <w:rPr>
          <w:rFonts w:cs="Times New Roman"/>
          <w:szCs w:val="17"/>
        </w:rPr>
      </w:r>
    </w:p>
    <w:p>
      <w:pPr>
        <w:pStyle w:val="Normal"/>
        <w:rPr>
          <w:szCs w:val="17"/>
        </w:rPr>
      </w:pPr>
      <w:r>
        <w:rPr>
          <w:szCs w:val="17"/>
        </w:rPr>
        <w:t>Dear Sir or Madam:</w:t>
      </w:r>
    </w:p>
    <w:p>
      <w:pPr>
        <w:pStyle w:val="Normal"/>
        <w:rPr>
          <w:szCs w:val="17"/>
        </w:rPr>
      </w:pPr>
      <w:r>
        <w:rPr>
          <w:szCs w:val="17"/>
        </w:rPr>
      </w:r>
    </w:p>
    <w:p>
      <w:pPr>
        <w:pStyle w:val="Normal"/>
        <w:ind w:firstLine="1440" w:end="0"/>
        <w:jc w:val="both"/>
        <w:rPr/>
      </w:pPr>
      <w:r>
        <w:rPr>
          <w:szCs w:val="17"/>
        </w:rPr>
        <w:t>We have acted as counsel to Petroquim S.A. (the "Counterparty"), in connection with the execution and delivery by the Counterparty of a Confirmation dated as of ________ [and an ISDA Master Agreement dated as of</w:t>
      </w:r>
      <w:r>
        <w:rPr>
          <w:szCs w:val="17"/>
          <w:u w:val="single"/>
        </w:rPr>
        <w:t xml:space="preserve">                             </w:t>
      </w:r>
      <w:r>
        <w:rPr>
          <w:szCs w:val="17"/>
        </w:rPr>
        <w:t>] (the Confirmation, the ISDA Master Agreement and any Transactions intended to be governed thereby are hereinafter referred to as the "Agreement"), between you and the Counterparty.</w:t>
      </w:r>
    </w:p>
    <w:p>
      <w:pPr>
        <w:pStyle w:val="Normal"/>
        <w:jc w:val="both"/>
        <w:rPr>
          <w:szCs w:val="17"/>
        </w:rPr>
      </w:pPr>
      <w:r>
        <w:rPr>
          <w:szCs w:val="17"/>
        </w:rPr>
      </w:r>
    </w:p>
    <w:p>
      <w:pPr>
        <w:pStyle w:val="Normal"/>
        <w:jc w:val="both"/>
        <w:rPr>
          <w:szCs w:val="17"/>
        </w:rPr>
      </w:pPr>
      <w:r>
        <w:rPr>
          <w:szCs w:val="17"/>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Chile.</w:t>
      </w:r>
    </w:p>
    <w:p>
      <w:pPr>
        <w:pStyle w:val="Normal"/>
        <w:jc w:val="both"/>
        <w:rPr>
          <w:szCs w:val="17"/>
        </w:rPr>
      </w:pPr>
      <w:r>
        <w:rPr>
          <w:szCs w:val="17"/>
        </w:rPr>
      </w:r>
    </w:p>
    <w:p>
      <w:pPr>
        <w:pStyle w:val="Normal"/>
        <w:jc w:val="both"/>
        <w:rPr>
          <w:szCs w:val="17"/>
        </w:rPr>
      </w:pPr>
      <w:r>
        <w:rPr>
          <w:szCs w:val="17"/>
        </w:rPr>
        <w:tab/>
        <w:tab/>
        <w:t>Based upon the foregoing and having regard for such legal considerations as we deem relevant, we are of opinion that:</w:t>
      </w:r>
    </w:p>
    <w:p>
      <w:pPr>
        <w:pStyle w:val="Normal"/>
        <w:jc w:val="both"/>
        <w:rPr>
          <w:szCs w:val="17"/>
        </w:rPr>
      </w:pPr>
      <w:r>
        <w:rPr>
          <w:szCs w:val="17"/>
        </w:rPr>
      </w:r>
    </w:p>
    <w:p>
      <w:pPr>
        <w:pStyle w:val="Normal"/>
        <w:tabs>
          <w:tab w:val="clear" w:pos="720"/>
          <w:tab w:val="left" w:pos="1440" w:leader="none"/>
        </w:tabs>
        <w:jc w:val="both"/>
        <w:rPr>
          <w:szCs w:val="17"/>
        </w:rPr>
      </w:pPr>
      <w:r>
        <w:rPr>
          <w:szCs w:val="17"/>
        </w:rPr>
        <w:tab/>
        <w:t>1.  The Counterparty is a __________________ duly existing under the laws of Chile.</w:t>
      </w:r>
    </w:p>
    <w:p>
      <w:pPr>
        <w:pStyle w:val="Normal"/>
        <w:tabs>
          <w:tab w:val="clear" w:pos="720"/>
          <w:tab w:val="left" w:pos="1440" w:leader="none"/>
        </w:tabs>
        <w:jc w:val="both"/>
        <w:rPr>
          <w:szCs w:val="17"/>
        </w:rPr>
      </w:pPr>
      <w:r>
        <w:rPr>
          <w:szCs w:val="17"/>
        </w:rPr>
      </w:r>
    </w:p>
    <w:p>
      <w:pPr>
        <w:pStyle w:val="Normal"/>
        <w:tabs>
          <w:tab w:val="clear" w:pos="720"/>
          <w:tab w:val="left" w:pos="1440" w:leader="none"/>
        </w:tabs>
        <w:jc w:val="both"/>
        <w:rPr>
          <w:szCs w:val="17"/>
        </w:rPr>
      </w:pPr>
      <w:r>
        <w:rPr>
          <w:szCs w:val="17"/>
        </w:rPr>
        <w:tab/>
        <w:t>2.  The Counterparty has full corporate power to execute and deliver the Agreement and to perform its obligations thereunder.</w:t>
      </w:r>
    </w:p>
    <w:p>
      <w:pPr>
        <w:pStyle w:val="Normal"/>
        <w:tabs>
          <w:tab w:val="clear" w:pos="720"/>
          <w:tab w:val="left" w:pos="1440" w:leader="none"/>
        </w:tabs>
        <w:jc w:val="both"/>
        <w:rPr>
          <w:szCs w:val="17"/>
        </w:rPr>
      </w:pPr>
      <w:r>
        <w:rPr>
          <w:szCs w:val="17"/>
        </w:rPr>
      </w:r>
    </w:p>
    <w:p>
      <w:pPr>
        <w:pStyle w:val="Normal"/>
        <w:tabs>
          <w:tab w:val="clear" w:pos="720"/>
          <w:tab w:val="left" w:pos="1440" w:leader="none"/>
        </w:tabs>
        <w:jc w:val="both"/>
        <w:rPr>
          <w:szCs w:val="17"/>
        </w:rPr>
      </w:pPr>
      <w:r>
        <w:rPr>
          <w:szCs w:val="17"/>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Cs w:val="17"/>
        </w:rPr>
      </w:pPr>
      <w:r>
        <w:rPr>
          <w:szCs w:val="17"/>
        </w:rPr>
      </w:r>
    </w:p>
    <w:p>
      <w:pPr>
        <w:pStyle w:val="Normal"/>
        <w:tabs>
          <w:tab w:val="clear" w:pos="720"/>
          <w:tab w:val="left" w:pos="1440" w:leader="none"/>
        </w:tabs>
        <w:jc w:val="both"/>
        <w:rPr>
          <w:szCs w:val="17"/>
        </w:rPr>
      </w:pPr>
      <w:r>
        <w:rPr>
          <w:szCs w:val="17"/>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Cs w:val="17"/>
        </w:rPr>
      </w:pPr>
      <w:r>
        <w:rPr>
          <w:szCs w:val="17"/>
        </w:rPr>
      </w:r>
    </w:p>
    <w:p>
      <w:pPr>
        <w:pStyle w:val="Normal"/>
        <w:tabs>
          <w:tab w:val="clear" w:pos="720"/>
          <w:tab w:val="left" w:pos="1440" w:leader="none"/>
        </w:tabs>
        <w:jc w:val="both"/>
        <w:rPr>
          <w:szCs w:val="17"/>
        </w:rPr>
      </w:pPr>
      <w:r>
        <w:rPr>
          <w:szCs w:val="17"/>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Cs w:val="17"/>
        </w:rPr>
      </w:pPr>
      <w:r>
        <w:rPr>
          <w:szCs w:val="17"/>
        </w:rPr>
      </w:r>
    </w:p>
    <w:p>
      <w:pPr>
        <w:pStyle w:val="BodyText"/>
        <w:tabs>
          <w:tab w:val="clear" w:pos="720"/>
          <w:tab w:val="left" w:pos="1440" w:leader="none"/>
        </w:tabs>
        <w:rPr>
          <w:szCs w:val="17"/>
        </w:rPr>
      </w:pPr>
      <w:r>
        <w:rPr>
          <w:szCs w:val="17"/>
        </w:rPr>
        <w:tab/>
        <w:t>6.  The choice of law provision set forth in the Agreement is valid and binding under the laws of Chile and any political subdivision thereof and would be given effect by the courts of Chile and any political subdivision thereof.</w:t>
      </w:r>
    </w:p>
    <w:p>
      <w:pPr>
        <w:pStyle w:val="Normal"/>
        <w:tabs>
          <w:tab w:val="clear" w:pos="720"/>
          <w:tab w:val="left" w:pos="1440" w:leader="none"/>
        </w:tabs>
        <w:rPr>
          <w:szCs w:val="17"/>
        </w:rPr>
      </w:pPr>
      <w:r>
        <w:rPr>
          <w:szCs w:val="17"/>
        </w:rPr>
      </w:r>
    </w:p>
    <w:p>
      <w:pPr>
        <w:pStyle w:val="Normal"/>
        <w:keepNext w:val="true"/>
        <w:jc w:val="end"/>
        <w:rPr>
          <w:szCs w:val="17"/>
        </w:rPr>
      </w:pPr>
      <w:r>
        <w:rPr>
          <w:szCs w:val="17"/>
        </w:rPr>
        <w:t>Very truly yours</w:t>
        <w:tab/>
        <w:tab/>
        <w:tab/>
      </w:r>
    </w:p>
    <w:p>
      <w:pPr>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jc w:val="end"/>
        <w:rPr>
          <w:szCs w:val="17"/>
        </w:rPr>
      </w:pPr>
      <w:r>
        <w:rPr>
          <w:szCs w:val="17"/>
        </w:rPr>
      </w:r>
    </w:p>
    <w:p>
      <w:pPr>
        <w:pStyle w:val="Normal"/>
        <w:keepNext w:val="true"/>
        <w:spacing w:lineRule="exact" w:line="240"/>
        <w:jc w:val="center"/>
        <w:rPr>
          <w:b/>
          <w:szCs w:val="17"/>
        </w:rPr>
      </w:pPr>
      <w:r>
        <w:rPr>
          <w:b/>
          <w:szCs w:val="17"/>
        </w:rPr>
        <w:t>ANNEX A</w:t>
      </w:r>
    </w:p>
    <w:p>
      <w:pPr>
        <w:pStyle w:val="Normal"/>
        <w:keepNext w:val="true"/>
        <w:jc w:val="center"/>
        <w:rPr>
          <w:b/>
          <w:szCs w:val="17"/>
        </w:rPr>
      </w:pPr>
      <w:r>
        <w:rPr>
          <w:b/>
          <w:szCs w:val="17"/>
        </w:rPr>
      </w:r>
    </w:p>
    <w:p>
      <w:pPr>
        <w:pStyle w:val="Normal"/>
        <w:keepNext w:val="true"/>
        <w:jc w:val="center"/>
        <w:rPr>
          <w:b/>
          <w:szCs w:val="17"/>
        </w:rPr>
      </w:pPr>
      <w:r>
        <w:rPr>
          <w:b/>
          <w:szCs w:val="17"/>
        </w:rPr>
        <w:t>U.S. WITHHOLDING TAX</w:t>
      </w:r>
    </w:p>
    <w:p>
      <w:pPr>
        <w:pStyle w:val="Normal"/>
        <w:keepNext w:val="true"/>
        <w:jc w:val="center"/>
        <w:rPr>
          <w:b/>
          <w:szCs w:val="17"/>
        </w:rPr>
      </w:pPr>
      <w:r>
        <w:rPr>
          <w:b/>
          <w:szCs w:val="17"/>
        </w:rPr>
      </w:r>
    </w:p>
    <w:p>
      <w:pPr>
        <w:pStyle w:val="Normal"/>
        <w:jc w:val="center"/>
        <w:rPr>
          <w:b/>
          <w:szCs w:val="17"/>
        </w:rPr>
      </w:pPr>
      <w:r>
        <w:rPr>
          <w:b/>
          <w:szCs w:val="17"/>
        </w:rPr>
        <w:t>Party A:  Enron North America Corp.</w:t>
      </w:r>
    </w:p>
    <w:p>
      <w:pPr>
        <w:pStyle w:val="Normal"/>
        <w:jc w:val="center"/>
        <w:rPr>
          <w:b/>
          <w:szCs w:val="17"/>
        </w:rPr>
      </w:pPr>
      <w:r>
        <w:rPr>
          <w:b/>
          <w:szCs w:val="17"/>
        </w:rPr>
        <w:t>Party B:  Petroquim S.A.</w:t>
      </w:r>
    </w:p>
    <w:p>
      <w:pPr>
        <w:pStyle w:val="Normal"/>
        <w:jc w:val="center"/>
        <w:rPr>
          <w:b/>
          <w:szCs w:val="17"/>
        </w:rPr>
      </w:pPr>
      <w:r>
        <w:rPr>
          <w:b/>
          <w:szCs w:val="17"/>
        </w:rPr>
      </w:r>
    </w:p>
    <w:p>
      <w:pPr>
        <w:pStyle w:val="Normal"/>
        <w:spacing w:lineRule="exact" w:line="480"/>
        <w:jc w:val="both"/>
        <w:rPr>
          <w:b/>
          <w:szCs w:val="17"/>
        </w:rPr>
      </w:pPr>
      <w:r>
        <w:rPr>
          <w:b/>
          <w:szCs w:val="17"/>
        </w:rPr>
        <w:t>I.  Tax Representations.</w:t>
      </w:r>
    </w:p>
    <w:p>
      <w:pPr>
        <w:pStyle w:val="Normal"/>
        <w:spacing w:lineRule="exact" w:line="240" w:before="240" w:after="0"/>
        <w:ind w:hanging="720" w:start="720" w:end="0"/>
        <w:jc w:val="both"/>
        <w:rPr/>
      </w:pPr>
      <w:r>
        <w:rPr>
          <w:b/>
          <w:szCs w:val="17"/>
        </w:rPr>
        <w:t>(a)</w:t>
        <w:tab/>
        <w:t xml:space="preserve">Payer Representations.  </w:t>
      </w:r>
      <w:r>
        <w:rPr>
          <w:szCs w:val="17"/>
        </w:rPr>
        <w:t>For the purpose of Section 3(e) of the ISDA Agreement, Party A and Party B make the following representation:</w:t>
      </w:r>
    </w:p>
    <w:p>
      <w:pPr>
        <w:pStyle w:val="Normal"/>
        <w:spacing w:lineRule="exact" w:line="240" w:before="240" w:after="0"/>
        <w:ind w:start="720" w:end="0"/>
        <w:jc w:val="both"/>
        <w:rPr/>
      </w:pPr>
      <w:r>
        <w:rPr>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Cs w:val="17"/>
        </w:rPr>
        <w:t>provided</w:t>
      </w:r>
      <w:r>
        <w:rPr>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Cs w:val="17"/>
        </w:rPr>
        <w:t>(b)</w:t>
        <w:tab/>
        <w:t>Payee Representations.</w:t>
      </w:r>
      <w:r>
        <w:rPr>
          <w:szCs w:val="17"/>
        </w:rPr>
        <w:t xml:space="preserve">  For the purpose of Section 3(f) of the ISDA Agreement, Party A makes no representations, and Party B makes the following representations:</w:t>
      </w:r>
    </w:p>
    <w:p>
      <w:pPr>
        <w:pStyle w:val="Normal"/>
        <w:spacing w:lineRule="exact" w:line="240" w:before="240" w:after="0"/>
        <w:ind w:hanging="720" w:start="1440" w:end="0"/>
        <w:jc w:val="both"/>
        <w:rPr>
          <w:szCs w:val="17"/>
        </w:rPr>
      </w:pPr>
      <w:r>
        <w:rPr>
          <w:szCs w:val="17"/>
        </w:rPr>
        <w:t>(i)</w:t>
        <w:tab/>
        <w:t>Each payment received or to be received by it in connection with this Confirmation and the ISDA Agreement will not be effectively connected with its conduct of a trade or business in the United States.</w:t>
      </w:r>
    </w:p>
    <w:p>
      <w:pPr>
        <w:pStyle w:val="Normal"/>
        <w:spacing w:lineRule="exact" w:line="240" w:before="240" w:after="0"/>
        <w:ind w:hanging="720" w:start="720" w:end="0"/>
        <w:jc w:val="both"/>
        <w:rPr>
          <w:b/>
          <w:szCs w:val="17"/>
        </w:rPr>
      </w:pPr>
      <w:r>
        <w:rPr>
          <w:b/>
          <w:szCs w:val="17"/>
        </w:rPr>
        <w:t>II.</w:t>
        <w:tab/>
        <w:t>Agreement to Deliver Documents</w:t>
      </w:r>
    </w:p>
    <w:p>
      <w:pPr>
        <w:pStyle w:val="BodyText"/>
        <w:spacing w:lineRule="exact" w:line="240" w:before="240" w:after="0"/>
        <w:rPr>
          <w:szCs w:val="17"/>
        </w:rPr>
      </w:pPr>
      <w:r>
        <w:rPr>
          <w:szCs w:val="17"/>
        </w:rPr>
        <w:t>For the purpose of Section 4(a) of the ISDA Agreement, the Tax forms, documents, or certificates to be delivered are:</w:t>
      </w:r>
    </w:p>
    <w:p>
      <w:pPr>
        <w:pStyle w:val="Normal"/>
        <w:spacing w:lineRule="exact" w:line="240" w:before="240" w:after="0"/>
        <w:ind w:hanging="720" w:start="1440" w:end="0"/>
        <w:jc w:val="both"/>
        <w:rPr>
          <w:szCs w:val="17"/>
        </w:rPr>
      </w:pPr>
      <w:r>
        <w:rPr>
          <w:szCs w:val="17"/>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before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szCs w:val="17"/>
        </w:rPr>
      </w:pPr>
      <w:r>
        <w:rPr>
          <w:b/>
          <w:szCs w:val="17"/>
        </w:rPr>
      </w:r>
    </w:p>
    <w:p>
      <w:pPr>
        <w:sectPr>
          <w:headerReference w:type="default" r:id="rId7"/>
          <w:headerReference w:type="first" r:id="rId8"/>
          <w:footerReference w:type="default" r:id="rId9"/>
          <w:footerReference w:type="first" r:id="rId10"/>
          <w:type w:val="nextPage"/>
          <w:pgSz w:w="12240" w:h="15840"/>
          <w:pgMar w:left="1008" w:right="1008" w:gutter="0" w:header="720" w:top="1008" w:footer="432" w:bottom="1008"/>
          <w:pgNumType w:start="1" w:fmt="decimal"/>
          <w:formProt w:val="false"/>
          <w:textDirection w:val="lrTb"/>
          <w:docGrid w:type="default" w:linePitch="360" w:charSpace="0"/>
        </w:sectPr>
        <w:pStyle w:val="Normal"/>
        <w:spacing w:lineRule="exact" w:line="240"/>
        <w:jc w:val="both"/>
        <w:rPr/>
      </w:pPr>
      <w:r>
        <w:rPr>
          <w:b/>
          <w:szCs w:val="17"/>
        </w:rPr>
        <w:t>III.</w:t>
        <w:tab/>
        <w:t xml:space="preserve">Definitions. </w:t>
      </w:r>
      <w:r>
        <w:rPr>
          <w:szCs w:val="17"/>
        </w:rPr>
        <w:t xml:space="preserve">  Capitalized terms not otherwise defined in this Annex A shall have the meaning set forth in this Confirmation or the ISDA Agreement.</w:t>
      </w:r>
    </w:p>
    <w:p>
      <w:pPr>
        <w:pStyle w:val="Heading4"/>
        <w:ind w:hanging="0" w:start="0"/>
        <w:rPr>
          <w:szCs w:val="17"/>
        </w:rPr>
      </w:pPr>
      <w:r>
        <w:rPr>
          <w:szCs w:val="17"/>
        </w:rPr>
        <w:t>DEEMED ISDA</w:t>
      </w:r>
    </w:p>
    <w:p>
      <w:pPr>
        <w:pStyle w:val="Normal"/>
        <w:jc w:val="center"/>
        <w:rPr>
          <w:b/>
          <w:szCs w:val="17"/>
          <w:u w:val="single"/>
        </w:rPr>
      </w:pPr>
      <w:r>
        <w:rPr>
          <w:b/>
          <w:szCs w:val="17"/>
          <w:u w:val="single"/>
        </w:rPr>
      </w:r>
    </w:p>
    <w:p>
      <w:pPr>
        <w:pStyle w:val="Normal"/>
        <w:jc w:val="center"/>
        <w:rPr>
          <w:b/>
          <w:szCs w:val="17"/>
          <w:u w:val="single"/>
        </w:rPr>
      </w:pPr>
      <w:r>
        <w:rPr>
          <w:b/>
          <w:szCs w:val="17"/>
          <w:u w:val="single"/>
        </w:rPr>
        <w:t>ANNEX B</w:t>
      </w:r>
    </w:p>
    <w:p>
      <w:pPr>
        <w:pStyle w:val="Normal"/>
        <w:jc w:val="center"/>
        <w:rPr>
          <w:b/>
          <w:szCs w:val="17"/>
          <w:u w:val="single"/>
        </w:rPr>
      </w:pPr>
      <w:r>
        <w:rPr>
          <w:b/>
          <w:szCs w:val="17"/>
          <w:u w:val="single"/>
        </w:rPr>
      </w:r>
    </w:p>
    <w:p>
      <w:pPr>
        <w:pStyle w:val="Normal"/>
        <w:jc w:val="center"/>
        <w:rPr>
          <w:b/>
          <w:szCs w:val="17"/>
        </w:rPr>
      </w:pPr>
      <w:r>
        <w:rPr>
          <w:b/>
          <w:szCs w:val="17"/>
        </w:rPr>
        <w:t>CREDIT AND OTHER SPECIAL PROVISIONS</w:t>
      </w:r>
    </w:p>
    <w:p>
      <w:pPr>
        <w:pStyle w:val="Normal"/>
        <w:jc w:val="center"/>
        <w:rPr>
          <w:b/>
          <w:szCs w:val="17"/>
        </w:rPr>
      </w:pPr>
      <w:r>
        <w:rPr>
          <w:b/>
          <w:szCs w:val="17"/>
        </w:rPr>
      </w:r>
    </w:p>
    <w:p>
      <w:pPr>
        <w:pStyle w:val="Normal"/>
        <w:jc w:val="center"/>
        <w:rPr>
          <w:b/>
          <w:szCs w:val="17"/>
        </w:rPr>
      </w:pPr>
      <w:r>
        <w:rPr>
          <w:b/>
          <w:szCs w:val="17"/>
        </w:rPr>
        <w:t>PETROQUIM S.A.</w:t>
      </w:r>
    </w:p>
    <w:p>
      <w:pPr>
        <w:pStyle w:val="Normal"/>
        <w:jc w:val="center"/>
        <w:rPr>
          <w:b/>
          <w:szCs w:val="17"/>
        </w:rPr>
      </w:pPr>
      <w:r>
        <w:rPr>
          <w:b/>
          <w:szCs w:val="17"/>
        </w:rPr>
      </w:r>
    </w:p>
    <w:p>
      <w:pPr>
        <w:pStyle w:val="Normal"/>
        <w:jc w:val="both"/>
        <w:rPr>
          <w:szCs w:val="17"/>
        </w:rPr>
      </w:pPr>
      <w:r>
        <w:rPr>
          <w:szCs w:val="17"/>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szCs w:val="17"/>
        </w:rPr>
        <w:t>1.</w:t>
        <w:tab/>
      </w:r>
      <w:r>
        <w:rPr>
          <w:szCs w:val="17"/>
          <w:u w:val="single"/>
        </w:rPr>
        <w:t>Additional Events of Default</w:t>
      </w:r>
      <w:r>
        <w:rPr>
          <w:szCs w:val="17"/>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Cs w:val="17"/>
          <w:u w:val="single"/>
        </w:rPr>
      </w:pPr>
      <w:r>
        <w:rPr>
          <w:b/>
          <w:szCs w:val="17"/>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szCs w:val="17"/>
        </w:rPr>
      </w:pPr>
      <w:r>
        <w:rPr>
          <w:szCs w:val="17"/>
        </w:rPr>
        <w:t>(i)</w:t>
        <w:tab/>
        <w:t>The following Event of Default is added to Section 5(a) of the ISDA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Cs w:val="17"/>
        </w:rPr>
      </w:pPr>
      <w:r>
        <w:rPr>
          <w:szCs w:val="17"/>
        </w:rPr>
      </w:r>
    </w:p>
    <w:p>
      <w:pPr>
        <w:pStyle w:val="Normal"/>
        <w:spacing w:lineRule="atLeast" w:line="240"/>
        <w:ind w:hanging="720" w:start="1440" w:end="0"/>
        <w:jc w:val="both"/>
        <w:rPr>
          <w:szCs w:val="17"/>
        </w:rPr>
      </w:pPr>
      <w:r>
        <w:rPr>
          <w:szCs w:val="17"/>
        </w:rPr>
        <w:t>"(ix)</w:t>
        <w:tab/>
        <w:t>Counterparty fails to establish, maintain, renew, substitute or increase the Performance Assurance in accordance with the terms and provisions of Annex B-1 and the failure continues for two (2) Business Days after notice from ENA."</w:t>
      </w:r>
    </w:p>
    <w:p>
      <w:pPr>
        <w:pStyle w:val="Normal"/>
        <w:spacing w:lineRule="atLeast" w:line="240"/>
        <w:jc w:val="both"/>
        <w:rPr>
          <w:b/>
          <w:szCs w:val="17"/>
          <w:u w:val="single"/>
        </w:rPr>
      </w:pPr>
      <w:r>
        <w:rPr>
          <w:b/>
          <w:szCs w:val="17"/>
          <w:u w:val="single"/>
        </w:rPr>
      </w:r>
    </w:p>
    <w:p>
      <w:pPr>
        <w:pStyle w:val="Normal"/>
        <w:ind w:hanging="720" w:start="360" w:end="0"/>
        <w:jc w:val="both"/>
        <w:rPr>
          <w:szCs w:val="17"/>
        </w:rPr>
      </w:pPr>
      <w:r>
        <w:rPr>
          <w:szCs w:val="17"/>
        </w:rPr>
        <w:tab/>
        <w:t>(ii)</w:t>
        <w:tab/>
        <w:t>Cross Default:</w:t>
      </w:r>
    </w:p>
    <w:p>
      <w:pPr>
        <w:pStyle w:val="Normal"/>
        <w:ind w:hanging="720" w:start="720" w:end="0"/>
        <w:jc w:val="both"/>
        <w:rPr>
          <w:szCs w:val="17"/>
        </w:rPr>
      </w:pPr>
      <w:r>
        <w:rPr>
          <w:szCs w:val="17"/>
        </w:rPr>
      </w:r>
    </w:p>
    <w:p>
      <w:pPr>
        <w:pStyle w:val="Normal"/>
        <w:ind w:start="720" w:end="0"/>
        <w:jc w:val="both"/>
        <w:rPr>
          <w:szCs w:val="17"/>
        </w:rPr>
      </w:pPr>
      <w:r>
        <w:rPr>
          <w:szCs w:val="17"/>
        </w:rPr>
        <w:t>The "Cross Default provisions of Section 5(a)(vi) of the ISDA Agreement will apply to Counterparty.  Specified Indebtedness will have the meaning specified in Section 14 of the ISDA Agreement.  Threshold Amount means with respect to Counterparty U.S. $5,000,000 (or its equivalent in another currency).</w:t>
      </w:r>
    </w:p>
    <w:p>
      <w:pPr>
        <w:pStyle w:val="Normal"/>
        <w:ind w:start="720" w:end="0"/>
        <w:jc w:val="both"/>
        <w:rPr>
          <w:szCs w:val="17"/>
        </w:rPr>
      </w:pPr>
      <w:r>
        <w:rPr>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Cs w:val="17"/>
        </w:rPr>
        <w:t>2.</w:t>
        <w:tab/>
      </w:r>
      <w:r>
        <w:rPr>
          <w:szCs w:val="17"/>
          <w:u w:val="single"/>
        </w:rPr>
        <w:t>Additional General Definitions</w:t>
      </w:r>
      <w:r>
        <w:rPr>
          <w:szCs w:val="17"/>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Cs w:val="17"/>
        </w:rPr>
      </w:pPr>
      <w:r>
        <w:rPr>
          <w:szCs w:val="17"/>
        </w:rPr>
      </w:r>
    </w:p>
    <w:p>
      <w:pPr>
        <w:pStyle w:val="Normal"/>
        <w:ind w:start="360" w:end="0"/>
        <w:jc w:val="both"/>
        <w:rPr/>
      </w:pPr>
      <w:r>
        <w:rPr>
          <w:i/>
          <w:szCs w:val="17"/>
        </w:rPr>
        <w:t>"</w:t>
      </w:r>
      <w:r>
        <w:rPr>
          <w:i/>
          <w:szCs w:val="17"/>
          <w:u w:val="single"/>
        </w:rPr>
        <w:t>Current Assets</w:t>
      </w:r>
      <w:r>
        <w:rPr>
          <w:i/>
          <w:szCs w:val="17"/>
        </w:rPr>
        <w:t>"</w:t>
      </w:r>
      <w:r>
        <w:rPr>
          <w:szCs w:val="17"/>
        </w:rPr>
        <w:t xml:space="preserve"> means consolidated current assets of Counterparty as would be reflected on a consolidated balance sheet of Counterparty prepared in accordance with GAAP.</w:t>
      </w:r>
    </w:p>
    <w:p>
      <w:pPr>
        <w:pStyle w:val="Normal"/>
        <w:jc w:val="both"/>
        <w:rPr>
          <w:szCs w:val="17"/>
        </w:rPr>
      </w:pPr>
      <w:r>
        <w:rPr>
          <w:szCs w:val="17"/>
        </w:rPr>
      </w:r>
    </w:p>
    <w:p>
      <w:pPr>
        <w:pStyle w:val="Normal"/>
        <w:ind w:start="360" w:end="0"/>
        <w:jc w:val="both"/>
        <w:rPr/>
      </w:pPr>
      <w:r>
        <w:rPr>
          <w:i/>
          <w:szCs w:val="17"/>
        </w:rPr>
        <w:t>"</w:t>
      </w:r>
      <w:r>
        <w:rPr>
          <w:i/>
          <w:szCs w:val="17"/>
          <w:u w:val="single"/>
        </w:rPr>
        <w:t>Current Liabilities</w:t>
      </w:r>
      <w:r>
        <w:rPr>
          <w:i/>
          <w:szCs w:val="17"/>
        </w:rPr>
        <w:t>"</w:t>
      </w:r>
      <w:r>
        <w:rPr>
          <w:szCs w:val="17"/>
        </w:rPr>
        <w:t xml:space="preserve"> means consolidated current liabilities of Counterparty</w:t>
      </w:r>
      <w:r>
        <w:rPr>
          <w:color w:val="FF0000"/>
          <w:szCs w:val="17"/>
        </w:rPr>
        <w:t xml:space="preserve"> </w:t>
      </w:r>
      <w:r>
        <w:rPr>
          <w:szCs w:val="17"/>
        </w:rPr>
        <w:t>as would be reflected on a consolidated balance sheet of Counterparty prepared in accordance with GAAP.</w:t>
      </w:r>
    </w:p>
    <w:p>
      <w:pPr>
        <w:pStyle w:val="Normal"/>
        <w:keepNext w:val="true"/>
        <w:jc w:val="both"/>
        <w:rPr>
          <w:szCs w:val="17"/>
        </w:rPr>
      </w:pPr>
      <w:r>
        <w:rPr>
          <w:szCs w:val="17"/>
        </w:rPr>
      </w:r>
    </w:p>
    <w:p>
      <w:pPr>
        <w:pStyle w:val="Normal"/>
        <w:ind w:start="360" w:end="0"/>
        <w:jc w:val="both"/>
        <w:rPr/>
      </w:pPr>
      <w:r>
        <w:rPr>
          <w:i/>
          <w:szCs w:val="17"/>
        </w:rPr>
        <w:t>"</w:t>
      </w:r>
      <w:r>
        <w:rPr>
          <w:i/>
          <w:szCs w:val="17"/>
          <w:u w:val="single"/>
        </w:rPr>
        <w:t>GAAP</w:t>
      </w:r>
      <w:r>
        <w:rPr>
          <w:i/>
          <w:szCs w:val="17"/>
        </w:rPr>
        <w:t>"</w:t>
      </w:r>
      <w:r>
        <w:rPr>
          <w:szCs w:val="17"/>
        </w:rPr>
        <w:t xml:space="preserve"> means generally accepted accounting principles that are generally accepted in the country in which the applicable party is organized and on a basis consistent with prior periods.</w:t>
      </w:r>
    </w:p>
    <w:p>
      <w:pPr>
        <w:pStyle w:val="Normal"/>
        <w:keepNext w:val="true"/>
        <w:jc w:val="both"/>
        <w:rPr>
          <w:szCs w:val="17"/>
        </w:rPr>
      </w:pPr>
      <w:r>
        <w:rPr>
          <w:szCs w:val="17"/>
        </w:rPr>
      </w:r>
    </w:p>
    <w:p>
      <w:pPr>
        <w:pStyle w:val="Normal"/>
        <w:spacing w:lineRule="atLeast" w:line="240"/>
        <w:ind w:start="360" w:end="0"/>
        <w:jc w:val="both"/>
        <w:rPr/>
      </w:pPr>
      <w:r>
        <w:rPr>
          <w:i/>
          <w:szCs w:val="17"/>
        </w:rPr>
        <w:t>"</w:t>
      </w:r>
      <w:r>
        <w:rPr>
          <w:i/>
          <w:szCs w:val="17"/>
          <w:u w:val="single"/>
        </w:rPr>
        <w:t>Material Adverse Change</w:t>
      </w:r>
      <w:r>
        <w:rPr>
          <w:i/>
          <w:szCs w:val="17"/>
        </w:rPr>
        <w:t>"</w:t>
      </w:r>
      <w:r>
        <w:rPr>
          <w:szCs w:val="17"/>
        </w:rPr>
        <w:t xml:space="preserve"> means, with respect to Counterparty, it shall have any of the following occur at any time:  (i) its Net Worth falls below U.S. $30,000,000, or (ii) the ratio of its Current Assets to Current Liabilities is less than 2 to 1.</w:t>
      </w:r>
    </w:p>
    <w:p>
      <w:pPr>
        <w:pStyle w:val="Normal"/>
        <w:spacing w:lineRule="atLeast" w:line="240"/>
        <w:jc w:val="both"/>
        <w:rPr>
          <w:szCs w:val="17"/>
        </w:rPr>
      </w:pPr>
      <w:r>
        <w:rPr>
          <w:szCs w:val="17"/>
        </w:rPr>
      </w:r>
    </w:p>
    <w:p>
      <w:pPr>
        <w:pStyle w:val="Normal"/>
        <w:ind w:start="360" w:end="144"/>
        <w:jc w:val="both"/>
        <w:rPr/>
      </w:pPr>
      <w:r>
        <w:rPr>
          <w:i/>
          <w:szCs w:val="17"/>
        </w:rPr>
        <w:t>"</w:t>
      </w:r>
      <w:r>
        <w:rPr>
          <w:i/>
          <w:szCs w:val="17"/>
          <w:u w:val="single"/>
        </w:rPr>
        <w:t>Net Worth</w:t>
      </w:r>
      <w:r>
        <w:rPr>
          <w:i/>
          <w:szCs w:val="17"/>
        </w:rPr>
        <w:t>"</w:t>
      </w:r>
      <w:r>
        <w:rPr>
          <w:szCs w:val="17"/>
        </w:rPr>
        <w:t xml:space="preserve"> means consolidated total assets of Counterparty</w:t>
      </w:r>
      <w:r>
        <w:rPr>
          <w:color w:val="FF0000"/>
          <w:szCs w:val="17"/>
        </w:rPr>
        <w:t xml:space="preserve"> </w:t>
      </w:r>
      <w:r>
        <w:rPr>
          <w:szCs w:val="17"/>
        </w:rPr>
        <w:t>(exclusive of intangible assets), minus consolidated total liabilities of Counterparty, each as would be reflected on a consolidated balance sheet of Counterparty prepared in accordance with GAAP.</w:t>
      </w:r>
    </w:p>
    <w:p>
      <w:pPr>
        <w:pStyle w:val="Normal"/>
        <w:ind w:end="144"/>
        <w:jc w:val="both"/>
        <w:rPr>
          <w:szCs w:val="17"/>
        </w:rPr>
      </w:pPr>
      <w:r>
        <w:rPr>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Cs w:val="17"/>
          <w:u w:val="single"/>
        </w:rPr>
      </w:pPr>
      <w:r>
        <w:rPr>
          <w:szCs w:val="17"/>
        </w:rPr>
        <w:t>3.</w:t>
        <w:tab/>
      </w:r>
      <w:r>
        <w:rPr>
          <w:szCs w:val="17"/>
          <w:u w:val="single"/>
        </w:rPr>
        <w:t>Credit Support Documents</w:t>
      </w:r>
      <w:r>
        <w:rPr>
          <w:szCs w:val="17"/>
        </w:rPr>
        <w:t>.  The following Sections are hereby added to Paragraph 16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Cs w:val="17"/>
          <w:u w:val="single"/>
        </w:rPr>
      </w:pPr>
      <w:r>
        <w:rPr>
          <w:b/>
          <w:szCs w:val="17"/>
          <w:u w:val="single"/>
        </w:rPr>
      </w:r>
    </w:p>
    <w:p>
      <w:pPr>
        <w:pStyle w:val="Normal"/>
        <w:ind w:start="360" w:end="0"/>
        <w:jc w:val="both"/>
        <w:rPr>
          <w:b/>
          <w:szCs w:val="17"/>
        </w:rPr>
      </w:pPr>
      <w:r>
        <w:rPr>
          <w:szCs w:val="17"/>
        </w:rPr>
        <w:t>"</w:t>
      </w:r>
      <w:r>
        <w:rPr>
          <w:szCs w:val="17"/>
          <w:u w:val="single"/>
        </w:rPr>
        <w:t>Credit Support Documents - Collateral Annex</w:t>
      </w:r>
      <w:r>
        <w:rPr>
          <w:szCs w:val="17"/>
        </w:rPr>
        <w:t>.  Counterparty shall establish, maintain, renew, substitute and increase Performance Assurance as (and only to the extent) required by Annex B-1, which shall be a Credit Support Document."</w:t>
      </w:r>
    </w:p>
    <w:p>
      <w:pPr>
        <w:pStyle w:val="Normal"/>
        <w:jc w:val="both"/>
        <w:rPr>
          <w:b/>
          <w:szCs w:val="17"/>
        </w:rPr>
      </w:pPr>
      <w:r>
        <w:rPr>
          <w:b/>
          <w:szCs w:val="17"/>
        </w:rPr>
      </w:r>
    </w:p>
    <w:p>
      <w:pPr>
        <w:pStyle w:val="Normal"/>
        <w:jc w:val="both"/>
        <w:rPr/>
      </w:pPr>
      <w:r>
        <w:rPr>
          <w:szCs w:val="17"/>
        </w:rPr>
        <w:t>4.</w:t>
        <w:tab/>
      </w:r>
      <w:r>
        <w:rPr>
          <w:szCs w:val="17"/>
          <w:u w:val="single"/>
        </w:rPr>
        <w:t>Financial Information</w:t>
      </w:r>
      <w:r>
        <w:rPr>
          <w:szCs w:val="17"/>
        </w:rPr>
        <w:t>.</w:t>
      </w:r>
    </w:p>
    <w:p>
      <w:pPr>
        <w:pStyle w:val="Normal"/>
        <w:ind w:hanging="720" w:start="720" w:end="0"/>
        <w:jc w:val="both"/>
        <w:rPr>
          <w:b/>
          <w:szCs w:val="17"/>
        </w:rPr>
      </w:pPr>
      <w:r>
        <w:rPr>
          <w:b/>
          <w:szCs w:val="17"/>
        </w:rPr>
      </w:r>
    </w:p>
    <w:p>
      <w:pPr>
        <w:pStyle w:val="Normal"/>
        <w:jc w:val="both"/>
        <w:rPr>
          <w:szCs w:val="17"/>
        </w:rPr>
      </w:pPr>
      <w:r>
        <w:rPr>
          <w:szCs w:val="17"/>
        </w:rPr>
        <w:tab/>
        <w:t>The following documents are hereby required to be delivered purusant to Section 4(a) of the ISDA Agreement:</w:t>
      </w:r>
    </w:p>
    <w:p>
      <w:pPr>
        <w:pStyle w:val="Normal"/>
        <w:jc w:val="both"/>
        <w:rPr>
          <w:szCs w:val="17"/>
        </w:rPr>
      </w:pPr>
      <w:r>
        <w:rPr>
          <w:szCs w:val="17"/>
        </w:rPr>
      </w:r>
    </w:p>
    <w:p>
      <w:pPr>
        <w:pStyle w:val="Normal"/>
        <w:ind w:start="360" w:end="0"/>
        <w:jc w:val="both"/>
        <w:rPr/>
      </w:pPr>
      <w:r>
        <w:rPr>
          <w:szCs w:val="17"/>
        </w:rPr>
        <w:t>"(iv)</w:t>
        <w:tab/>
        <w:t>Counterparty shall deliver to ENA (i) as soon as available and in any event within 120 days after the end of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t>
      </w:r>
      <w:r>
        <w:rPr>
          <w:i/>
          <w:szCs w:val="17"/>
        </w:rPr>
        <w:t>"</w:t>
      </w:r>
      <w:r>
        <w:rPr>
          <w:i/>
          <w:szCs w:val="17"/>
          <w:u w:val="single"/>
        </w:rPr>
        <w:t>GAAP</w:t>
      </w:r>
      <w:r>
        <w:rPr>
          <w:i/>
          <w:szCs w:val="17"/>
        </w:rPr>
        <w:t>"</w:t>
      </w:r>
      <w:r>
        <w:rPr>
          <w:szCs w:val="17"/>
        </w:rPr>
        <w:t>), (ii) as soon as available and in any event within sixty (60) days after the end of each of its first three fiscal quarters of each fiscal year, copies of its quarterly reports containing unaudited consolidated financial statements for such fiscal quarter prepared in accordance with GAAP, and (iii) such other publicly available financial information as ENA may reasonably request."</w:t>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Cs w:val="17"/>
        </w:rPr>
      </w:pPr>
      <w:r>
        <w:rPr>
          <w:szCs w:val="17"/>
        </w:rPr>
      </w:r>
    </w:p>
    <w:p>
      <w:pPr>
        <w:pStyle w:val="Normal"/>
        <w:jc w:val="both"/>
        <w:rPr>
          <w:b/>
          <w:szCs w:val="17"/>
          <w:u w:val="single"/>
        </w:rPr>
      </w:pPr>
      <w:r>
        <w:rPr>
          <w:b/>
          <w:szCs w:val="17"/>
          <w:u w:val="single"/>
        </w:rPr>
      </w:r>
    </w:p>
    <w:p>
      <w:pPr>
        <w:pStyle w:val="Normal"/>
        <w:jc w:val="center"/>
        <w:rPr>
          <w:b/>
          <w:szCs w:val="17"/>
        </w:rPr>
      </w:pPr>
      <w:r>
        <w:rPr>
          <w:b/>
          <w:szCs w:val="17"/>
          <w:u w:val="single"/>
        </w:rPr>
        <w:t>ANNEX B-1</w:t>
      </w:r>
    </w:p>
    <w:p>
      <w:pPr>
        <w:pStyle w:val="Normal"/>
        <w:jc w:val="center"/>
        <w:rPr>
          <w:szCs w:val="17"/>
        </w:rPr>
      </w:pPr>
      <w:r>
        <w:rPr>
          <w:b/>
          <w:szCs w:val="17"/>
          <w:u w:val="single"/>
        </w:rPr>
        <w:t>COLLATERAL AND EXPOSURE PROVISIONS</w:t>
      </w:r>
    </w:p>
    <w:p>
      <w:pPr>
        <w:pStyle w:val="Normal"/>
        <w:jc w:val="center"/>
        <w:rPr>
          <w:szCs w:val="17"/>
        </w:rPr>
      </w:pPr>
      <w:r>
        <w:rPr>
          <w:szCs w:val="17"/>
        </w:rPr>
      </w:r>
    </w:p>
    <w:p>
      <w:pPr>
        <w:pStyle w:val="Normal"/>
        <w:jc w:val="both"/>
        <w:rPr>
          <w:szCs w:val="17"/>
        </w:rPr>
      </w:pPr>
      <w:r>
        <w:rPr>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Cs w:val="17"/>
        </w:rPr>
      </w:pPr>
      <w:r>
        <w:rPr>
          <w:szCs w:val="17"/>
        </w:rPr>
      </w:r>
    </w:p>
    <w:p>
      <w:pPr>
        <w:pStyle w:val="Normal"/>
        <w:jc w:val="both"/>
        <w:rPr/>
      </w:pPr>
      <w:r>
        <w:rPr>
          <w:szCs w:val="17"/>
        </w:rPr>
        <w:tab/>
        <w:t xml:space="preserve">1.  </w:t>
      </w:r>
      <w:r>
        <w:rPr>
          <w:szCs w:val="17"/>
          <w:u w:val="single"/>
        </w:rPr>
        <w:t>Certain Definitions</w:t>
      </w:r>
      <w:r>
        <w:rPr>
          <w:szCs w:val="17"/>
        </w:rPr>
        <w:t>.  As used herein:</w:t>
      </w:r>
    </w:p>
    <w:p>
      <w:pPr>
        <w:pStyle w:val="Normal"/>
        <w:jc w:val="both"/>
        <w:rPr>
          <w:szCs w:val="17"/>
        </w:rPr>
      </w:pPr>
      <w:r>
        <w:rPr>
          <w:szCs w:val="17"/>
        </w:rPr>
      </w:r>
    </w:p>
    <w:p>
      <w:pPr>
        <w:pStyle w:val="Normal"/>
        <w:tabs>
          <w:tab w:val="left" w:pos="720" w:leader="none"/>
        </w:tabs>
        <w:ind w:hanging="1440" w:start="1440" w:end="0"/>
        <w:jc w:val="both"/>
        <w:rPr/>
      </w:pPr>
      <w:r>
        <w:rPr>
          <w:i/>
          <w:szCs w:val="17"/>
        </w:rPr>
        <w:tab/>
      </w:r>
      <w:r>
        <w:rPr>
          <w:szCs w:val="17"/>
        </w:rPr>
        <w:t>(a)</w:t>
        <w:tab/>
      </w:r>
      <w:r>
        <w:rPr>
          <w:i/>
          <w:szCs w:val="17"/>
        </w:rPr>
        <w:t>"</w:t>
      </w:r>
      <w:r>
        <w:rPr>
          <w:i/>
          <w:szCs w:val="17"/>
          <w:u w:val="single"/>
        </w:rPr>
        <w:t>Additional Amount</w:t>
      </w:r>
      <w:r>
        <w:rPr>
          <w:i/>
          <w:szCs w:val="17"/>
        </w:rPr>
        <w:t>"</w:t>
      </w:r>
      <w:r>
        <w:rPr>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Cs w:val="17"/>
        </w:rPr>
      </w:pPr>
      <w:r>
        <w:rPr>
          <w:szCs w:val="17"/>
        </w:rPr>
      </w:r>
    </w:p>
    <w:p>
      <w:pPr>
        <w:pStyle w:val="Normal"/>
        <w:numPr>
          <w:ilvl w:val="0"/>
          <w:numId w:val="5"/>
        </w:numPr>
        <w:tabs>
          <w:tab w:val="left" w:pos="720" w:leader="none"/>
        </w:tabs>
        <w:jc w:val="both"/>
        <w:rPr>
          <w:szCs w:val="17"/>
        </w:rPr>
      </w:pPr>
      <w:r>
        <w:rPr>
          <w:szCs w:val="17"/>
        </w:rPr>
        <w:t>"</w:t>
      </w:r>
      <w:r>
        <w:rPr>
          <w:i/>
          <w:szCs w:val="17"/>
          <w:u w:val="single"/>
        </w:rPr>
        <w:t>Business Day</w:t>
      </w:r>
      <w:r>
        <w:rPr>
          <w:szCs w:val="17"/>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Cs w:val="17"/>
        </w:rPr>
      </w:pPr>
      <w:r>
        <w:rPr>
          <w:szCs w:val="17"/>
        </w:rPr>
        <w:t xml:space="preserve"> </w:t>
      </w:r>
    </w:p>
    <w:p>
      <w:pPr>
        <w:pStyle w:val="Normal"/>
        <w:tabs>
          <w:tab w:val="left" w:pos="720" w:leader="none"/>
        </w:tabs>
        <w:ind w:hanging="1440" w:start="1440" w:end="0"/>
        <w:jc w:val="both"/>
        <w:rPr/>
      </w:pPr>
      <w:r>
        <w:rPr>
          <w:szCs w:val="17"/>
        </w:rPr>
        <w:tab/>
        <w:t>(c)</w:t>
        <w:tab/>
        <w:t xml:space="preserve">The </w:t>
      </w:r>
      <w:r>
        <w:rPr>
          <w:i/>
          <w:szCs w:val="17"/>
        </w:rPr>
        <w:t>"</w:t>
      </w:r>
      <w:r>
        <w:rPr>
          <w:i/>
          <w:szCs w:val="17"/>
          <w:u w:val="single"/>
        </w:rPr>
        <w:t>Collateral Requirement</w:t>
      </w:r>
      <w:r>
        <w:rPr>
          <w:i/>
          <w:szCs w:val="17"/>
        </w:rPr>
        <w:t>"</w:t>
      </w:r>
      <w:r>
        <w:rPr>
          <w:szCs w:val="17"/>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szCs w:val="17"/>
        </w:rPr>
      </w:pPr>
      <w:r>
        <w:rPr>
          <w:szCs w:val="17"/>
        </w:rPr>
      </w:r>
    </w:p>
    <w:p>
      <w:pPr>
        <w:pStyle w:val="Normal"/>
        <w:tabs>
          <w:tab w:val="left" w:pos="720" w:leader="none"/>
        </w:tabs>
        <w:ind w:hanging="1440" w:start="1440" w:end="0"/>
        <w:jc w:val="both"/>
        <w:rPr/>
      </w:pPr>
      <w:r>
        <w:rPr>
          <w:szCs w:val="17"/>
        </w:rPr>
        <w:tab/>
        <w:t>(d)</w:t>
        <w:tab/>
        <w:t xml:space="preserve">The </w:t>
      </w:r>
      <w:r>
        <w:rPr>
          <w:i/>
          <w:szCs w:val="17"/>
        </w:rPr>
        <w:t>"</w:t>
      </w:r>
      <w:r>
        <w:rPr>
          <w:i/>
          <w:szCs w:val="17"/>
          <w:u w:val="single"/>
        </w:rPr>
        <w:t>Current Value</w:t>
      </w:r>
      <w:r>
        <w:rPr>
          <w:i/>
          <w:szCs w:val="17"/>
        </w:rPr>
        <w:t>"</w:t>
      </w:r>
      <w:r>
        <w:rPr>
          <w:szCs w:val="17"/>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szCs w:val="17"/>
        </w:rPr>
      </w:pPr>
      <w:r>
        <w:rPr>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Cs w:val="17"/>
        </w:rPr>
        <w:tab/>
        <w:t>(e)</w:t>
        <w:tab/>
      </w:r>
      <w:r>
        <w:rPr>
          <w:i/>
          <w:szCs w:val="17"/>
        </w:rPr>
        <w:t>"</w:t>
      </w:r>
      <w:r>
        <w:rPr>
          <w:i/>
          <w:szCs w:val="17"/>
          <w:u w:val="single"/>
        </w:rPr>
        <w:t>Exposure</w:t>
      </w:r>
      <w:r>
        <w:rPr>
          <w:i/>
          <w:szCs w:val="17"/>
        </w:rPr>
        <w:t>"</w:t>
      </w:r>
      <w:r>
        <w:rPr>
          <w:szCs w:val="17"/>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Cs w:val="17"/>
        </w:rPr>
      </w:pPr>
      <w:r>
        <w:rPr>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Cs w:val="17"/>
        </w:rPr>
      </w:pPr>
      <w:r>
        <w:rPr>
          <w:szCs w:val="17"/>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Cs w:val="17"/>
        </w:rPr>
      </w:pPr>
      <w:r>
        <w:rPr>
          <w:szCs w:val="17"/>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Cs w:val="17"/>
        </w:rPr>
        <w:t>(f)</w:t>
        <w:tab/>
      </w:r>
      <w:r>
        <w:rPr>
          <w:i/>
          <w:szCs w:val="17"/>
        </w:rPr>
        <w:t>"</w:t>
      </w:r>
      <w:r>
        <w:rPr>
          <w:i/>
          <w:szCs w:val="17"/>
          <w:u w:val="single"/>
        </w:rPr>
        <w:t>Exposure Threshold</w:t>
      </w:r>
      <w:r>
        <w:rPr>
          <w:i/>
          <w:szCs w:val="17"/>
        </w:rPr>
        <w:t>"</w:t>
      </w:r>
      <w:r>
        <w:rPr>
          <w:szCs w:val="17"/>
        </w:rPr>
        <w:t xml:space="preserve"> shall mean, with respect to Counterparty, U.S. $250,000;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szCs w:val="17"/>
          <w:u w:val="single"/>
        </w:rPr>
        <w:t>Potential Event of Default</w:t>
      </w:r>
      <w:r>
        <w:rPr>
          <w:szCs w:val="17"/>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(g)</w:t>
        <w:tab/>
      </w:r>
      <w:r>
        <w:rPr>
          <w:i/>
          <w:szCs w:val="17"/>
        </w:rPr>
        <w:t>"</w:t>
      </w:r>
      <w:r>
        <w:rPr>
          <w:i/>
          <w:szCs w:val="17"/>
          <w:u w:val="single"/>
        </w:rPr>
        <w:t>Exposure Amount</w:t>
      </w:r>
      <w:r>
        <w:rPr>
          <w:i/>
          <w:szCs w:val="17"/>
        </w:rPr>
        <w:t>"</w:t>
      </w:r>
      <w:r>
        <w:rPr>
          <w:szCs w:val="17"/>
        </w:rPr>
        <w:t xml:space="preserve"> for each party shall be calculated for all Swaps by calculating each party's Exposure to the other party in respect of all Swaps.  The party having the greater Exposure Amount at any time (the </w:t>
      </w:r>
      <w:r>
        <w:rPr>
          <w:i/>
          <w:szCs w:val="17"/>
        </w:rPr>
        <w:t>"</w:t>
      </w:r>
      <w:r>
        <w:rPr>
          <w:i/>
          <w:szCs w:val="17"/>
          <w:u w:val="single"/>
        </w:rPr>
        <w:t>Exposed Party</w:t>
      </w:r>
      <w:r>
        <w:rPr>
          <w:i/>
          <w:szCs w:val="17"/>
        </w:rPr>
        <w:t>"</w:t>
      </w:r>
      <w:r>
        <w:rPr>
          <w:szCs w:val="17"/>
        </w:rPr>
        <w:t xml:space="preserve">) shall be deemed to have a "Net Exposure" to the other party (the </w:t>
      </w:r>
      <w:r>
        <w:rPr>
          <w:i/>
          <w:szCs w:val="17"/>
        </w:rPr>
        <w:t>"</w:t>
      </w:r>
      <w:r>
        <w:rPr>
          <w:i/>
          <w:szCs w:val="17"/>
          <w:u w:val="single"/>
        </w:rPr>
        <w:t>Non-Exposed Party</w:t>
      </w:r>
      <w:r>
        <w:rPr>
          <w:i/>
          <w:szCs w:val="17"/>
        </w:rPr>
        <w:t>"</w:t>
      </w:r>
      <w:r>
        <w:rPr>
          <w:szCs w:val="17"/>
        </w:rPr>
        <w:t>) equal to the difference between its Exposure Amount and the other party's Exposure Amount.</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(h)</w:t>
        <w:tab/>
        <w:t>"</w:t>
      </w:r>
      <w:r>
        <w:rPr>
          <w:i/>
          <w:szCs w:val="17"/>
          <w:u w:val="single"/>
        </w:rPr>
        <w:t>Interest Amount</w:t>
      </w:r>
      <w:r>
        <w:rPr>
          <w:szCs w:val="17"/>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i/>
          <w:szCs w:val="17"/>
          <w:u w:val="single"/>
        </w:rPr>
        <w:t>Interest Period</w:t>
      </w:r>
      <w:r>
        <w:rPr>
          <w:szCs w:val="17"/>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i/>
          <w:szCs w:val="17"/>
          <w:u w:val="single"/>
        </w:rPr>
        <w:t>Interest Rate</w:t>
      </w:r>
      <w:r>
        <w:rPr>
          <w:szCs w:val="17"/>
        </w:rPr>
        <w:t>" shall be the Federal Funds Overnight Rate as from time to time in effect.  "</w:t>
      </w:r>
      <w:r>
        <w:rPr>
          <w:i/>
          <w:szCs w:val="17"/>
          <w:u w:val="single"/>
        </w:rPr>
        <w:t>Federal Funds Overnight Rate</w:t>
      </w:r>
      <w:r>
        <w:rPr>
          <w:szCs w:val="17"/>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Cs w:val="17"/>
        </w:rPr>
      </w:pPr>
      <w:r>
        <w:rPr>
          <w:szCs w:val="17"/>
        </w:rPr>
      </w:r>
    </w:p>
    <w:p>
      <w:pPr>
        <w:pStyle w:val="Normal"/>
        <w:tabs>
          <w:tab w:val="left" w:pos="720" w:leader="none"/>
        </w:tabs>
        <w:ind w:hanging="720" w:start="1440" w:end="0"/>
        <w:jc w:val="both"/>
        <w:rPr/>
      </w:pPr>
      <w:r>
        <w:rPr>
          <w:szCs w:val="17"/>
        </w:rPr>
        <w:t>(i)</w:t>
        <w:tab/>
      </w:r>
      <w:r>
        <w:rPr>
          <w:i/>
          <w:szCs w:val="17"/>
        </w:rPr>
        <w:t>"</w:t>
      </w:r>
      <w:r>
        <w:rPr>
          <w:i/>
          <w:iCs/>
          <w:szCs w:val="17"/>
          <w:u w:val="single"/>
        </w:rPr>
        <w:t>Issuer</w:t>
      </w:r>
      <w:r>
        <w:rPr>
          <w:i/>
          <w:szCs w:val="17"/>
        </w:rPr>
        <w:t>"</w:t>
      </w:r>
      <w:r>
        <w:rPr>
          <w:iCs/>
          <w:szCs w:val="17"/>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720" w:start="1440" w:end="0"/>
        <w:jc w:val="both"/>
        <w:rPr>
          <w:i/>
          <w:i/>
          <w:szCs w:val="17"/>
        </w:rPr>
      </w:pPr>
      <w:r>
        <w:rPr>
          <w:i/>
          <w:szCs w:val="17"/>
        </w:rPr>
        <w:t xml:space="preserve"> </w:t>
      </w:r>
    </w:p>
    <w:p>
      <w:pPr>
        <w:pStyle w:val="Normal"/>
        <w:tabs>
          <w:tab w:val="left" w:pos="720" w:leader="none"/>
        </w:tabs>
        <w:ind w:hanging="720" w:start="1440" w:end="0"/>
        <w:jc w:val="both"/>
        <w:rPr/>
      </w:pPr>
      <w:r>
        <w:rPr>
          <w:iCs/>
          <w:szCs w:val="17"/>
        </w:rPr>
        <w:t>(j)</w:t>
        <w:tab/>
      </w:r>
      <w:r>
        <w:rPr>
          <w:i/>
          <w:szCs w:val="17"/>
        </w:rPr>
        <w:t>"</w:t>
      </w:r>
      <w:r>
        <w:rPr>
          <w:i/>
          <w:szCs w:val="17"/>
          <w:u w:val="single"/>
        </w:rPr>
        <w:t>Letter of Credit Default</w:t>
      </w:r>
      <w:r>
        <w:rPr>
          <w:i/>
          <w:szCs w:val="17"/>
        </w:rPr>
        <w:t>"</w:t>
      </w:r>
      <w:r>
        <w:rPr>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Cs w:val="17"/>
          <w:u w:val="single"/>
        </w:rPr>
      </w:pPr>
      <w:r>
        <w:rPr>
          <w:b/>
          <w:szCs w:val="17"/>
          <w:u w:val="single"/>
        </w:rPr>
      </w:r>
    </w:p>
    <w:p>
      <w:pPr>
        <w:pStyle w:val="Normal"/>
        <w:ind w:start="720" w:end="0"/>
        <w:jc w:val="both"/>
        <w:rPr/>
      </w:pPr>
      <w:r>
        <w:rPr>
          <w:szCs w:val="17"/>
        </w:rPr>
        <w:t>(k)</w:t>
        <w:tab/>
        <w:t>"</w:t>
      </w:r>
      <w:r>
        <w:rPr>
          <w:i/>
          <w:szCs w:val="17"/>
          <w:u w:val="single"/>
        </w:rPr>
        <w:t>Moody's</w:t>
      </w:r>
      <w:r>
        <w:rPr>
          <w:szCs w:val="17"/>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Cs w:val="17"/>
          <w:u w:val="single"/>
        </w:rPr>
      </w:pPr>
      <w:r>
        <w:rPr>
          <w:b/>
          <w:szCs w:val="17"/>
          <w:u w:val="single"/>
        </w:rPr>
      </w:r>
    </w:p>
    <w:p>
      <w:pPr>
        <w:pStyle w:val="Normal"/>
        <w:ind w:hanging="720" w:start="1440" w:end="0"/>
        <w:jc w:val="both"/>
        <w:rPr/>
      </w:pPr>
      <w:r>
        <w:rPr>
          <w:szCs w:val="17"/>
        </w:rPr>
        <w:t>(l)</w:t>
        <w:tab/>
        <w:t>"</w:t>
      </w:r>
      <w:r>
        <w:rPr>
          <w:i/>
          <w:szCs w:val="17"/>
          <w:u w:val="single"/>
        </w:rPr>
        <w:t>Performance Assurance</w:t>
      </w:r>
      <w:r>
        <w:rPr>
          <w:szCs w:val="17"/>
        </w:rPr>
        <w:t xml:space="preserve">" means (i) one or more irrevocable, transferable standby letters of credit (each a </w:t>
      </w:r>
      <w:r>
        <w:rPr>
          <w:i/>
          <w:szCs w:val="17"/>
        </w:rPr>
        <w:t>"</w:t>
      </w:r>
      <w:r>
        <w:rPr>
          <w:i/>
          <w:szCs w:val="17"/>
          <w:u w:val="single"/>
        </w:rPr>
        <w:t>Letter of Credit</w:t>
      </w:r>
      <w:r>
        <w:rPr>
          <w:i/>
          <w:szCs w:val="17"/>
        </w:rPr>
        <w:t>"</w:t>
      </w:r>
      <w:r>
        <w:rPr>
          <w:szCs w:val="17"/>
        </w:rPr>
        <w:t xml:space="preserve">) issued by a major U.S. commercial bank or a foreign bank with a U.S. branch office, with such bank having a Credit Rating of at least "A-" from S&amp;P and "A3" from Moody's, such Letter of Credit being issued for the benefit of ENA and in the form of </w:t>
      </w:r>
      <w:r>
        <w:rPr>
          <w:szCs w:val="17"/>
          <w:u w:val="single"/>
        </w:rPr>
        <w:t>Schedule 1</w:t>
      </w:r>
      <w:r>
        <w:rPr>
          <w:szCs w:val="17"/>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szCs w:val="17"/>
        </w:rPr>
      </w:pPr>
      <w:r>
        <w:rPr>
          <w:szCs w:val="17"/>
        </w:rPr>
      </w:r>
    </w:p>
    <w:p>
      <w:pPr>
        <w:pStyle w:val="Normal"/>
        <w:ind w:start="720" w:end="0"/>
        <w:jc w:val="both"/>
        <w:rPr/>
      </w:pPr>
      <w:r>
        <w:rPr>
          <w:szCs w:val="17"/>
        </w:rPr>
        <w:t>(m)</w:t>
        <w:tab/>
        <w:t>"</w:t>
      </w:r>
      <w:r>
        <w:rPr>
          <w:i/>
          <w:szCs w:val="17"/>
          <w:u w:val="single"/>
        </w:rPr>
        <w:t>S&amp;P"</w:t>
      </w:r>
      <w:r>
        <w:rPr>
          <w:szCs w:val="17"/>
        </w:rPr>
        <w:t xml:space="preserve"> means the Standard &amp; Poor's Rating Group (a division of McGraw-Hill, Inc.) or its successor.</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(n)</w:t>
        <w:tab/>
      </w:r>
      <w:r>
        <w:rPr>
          <w:i/>
          <w:szCs w:val="17"/>
        </w:rPr>
        <w:t>"</w:t>
      </w:r>
      <w:r>
        <w:rPr>
          <w:i/>
          <w:szCs w:val="17"/>
          <w:u w:val="single"/>
        </w:rPr>
        <w:t>Swaps</w:t>
      </w:r>
      <w:r>
        <w:rPr>
          <w:i/>
          <w:szCs w:val="17"/>
        </w:rPr>
        <w:t>"</w:t>
      </w:r>
      <w:r>
        <w:rPr>
          <w:szCs w:val="17"/>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Cs w:val="17"/>
          <w:u w:val="single"/>
        </w:rPr>
        <w:t>Swap</w:t>
      </w:r>
      <w:r>
        <w:rPr>
          <w:szCs w:val="17"/>
        </w:rPr>
        <w:t>" shall mean any of the Swaps.</w:t>
      </w:r>
    </w:p>
    <w:p>
      <w:pPr>
        <w:pStyle w:val="Normal"/>
        <w:spacing w:before="240" w:after="0"/>
        <w:ind w:hanging="720" w:start="1440" w:end="0"/>
        <w:jc w:val="both"/>
        <w:rPr/>
      </w:pPr>
      <w:r>
        <w:rPr>
          <w:szCs w:val="17"/>
        </w:rPr>
        <w:t>(o)</w:t>
        <w:tab/>
      </w:r>
      <w:r>
        <w:rPr>
          <w:i/>
          <w:szCs w:val="17"/>
        </w:rPr>
        <w:t>"</w:t>
      </w:r>
      <w:r>
        <w:rPr>
          <w:i/>
          <w:iCs/>
          <w:szCs w:val="17"/>
          <w:u w:val="single"/>
        </w:rPr>
        <w:t>Transfer</w:t>
      </w:r>
      <w:r>
        <w:rPr>
          <w:i/>
          <w:szCs w:val="17"/>
        </w:rPr>
        <w:t>"</w:t>
      </w:r>
      <w:r>
        <w:rPr>
          <w:szCs w:val="17"/>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Cs w:val="17"/>
        </w:rPr>
      </w:pPr>
      <w:r>
        <w:rPr>
          <w:i/>
          <w:szCs w:val="17"/>
        </w:rPr>
      </w:r>
    </w:p>
    <w:p>
      <w:pPr>
        <w:pStyle w:val="Normal"/>
        <w:tabs>
          <w:tab w:val="left" w:pos="720" w:leader="none"/>
        </w:tabs>
        <w:ind w:hanging="720" w:start="1440" w:end="0"/>
        <w:jc w:val="both"/>
        <w:rPr/>
      </w:pPr>
      <w:r>
        <w:rPr>
          <w:szCs w:val="17"/>
        </w:rPr>
        <w:t>(p)</w:t>
        <w:tab/>
      </w:r>
      <w:r>
        <w:rPr>
          <w:i/>
          <w:szCs w:val="17"/>
        </w:rPr>
        <w:t>"</w:t>
      </w:r>
      <w:r>
        <w:rPr>
          <w:i/>
          <w:szCs w:val="17"/>
          <w:u w:val="single"/>
        </w:rPr>
        <w:t>Valuation Percentage</w:t>
      </w:r>
      <w:r>
        <w:rPr>
          <w:i/>
          <w:szCs w:val="17"/>
        </w:rPr>
        <w:t>"</w:t>
      </w:r>
      <w:r>
        <w:rPr>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Cs w:val="17"/>
        </w:rPr>
      </w:pPr>
      <w:r>
        <w:rPr>
          <w:szCs w:val="17"/>
        </w:rPr>
      </w:r>
    </w:p>
    <w:p>
      <w:pPr>
        <w:pStyle w:val="Normal"/>
        <w:tabs>
          <w:tab w:val="left" w:pos="720" w:leader="none"/>
        </w:tabs>
        <w:ind w:hanging="1440" w:start="1440" w:end="0"/>
        <w:jc w:val="both"/>
        <w:rPr>
          <w:szCs w:val="17"/>
        </w:rPr>
      </w:pPr>
      <w:r>
        <w:rPr>
          <w:szCs w:val="17"/>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Cs w:val="17"/>
        </w:rPr>
      </w:pPr>
      <w:r>
        <w:rPr>
          <w:szCs w:val="17"/>
        </w:rPr>
      </w:r>
    </w:p>
    <w:p>
      <w:pPr>
        <w:pStyle w:val="Normal"/>
        <w:jc w:val="both"/>
        <w:rPr/>
      </w:pPr>
      <w:r>
        <w:rPr>
          <w:szCs w:val="17"/>
        </w:rPr>
        <w:tab/>
        <w:t xml:space="preserve">2.  </w:t>
      </w:r>
      <w:r>
        <w:rPr>
          <w:szCs w:val="17"/>
          <w:u w:val="single"/>
        </w:rPr>
        <w:t>Performance Assurance</w:t>
      </w:r>
      <w:r>
        <w:rPr>
          <w:szCs w:val="17"/>
        </w:rPr>
        <w:t>.</w:t>
      </w:r>
    </w:p>
    <w:p>
      <w:pPr>
        <w:pStyle w:val="Normal"/>
        <w:jc w:val="both"/>
        <w:rPr>
          <w:szCs w:val="17"/>
        </w:rPr>
      </w:pPr>
      <w:r>
        <w:rPr>
          <w:szCs w:val="17"/>
        </w:rPr>
      </w:r>
    </w:p>
    <w:p>
      <w:pPr>
        <w:pStyle w:val="Normal"/>
        <w:ind w:hanging="720" w:start="1440" w:end="0"/>
        <w:jc w:val="both"/>
        <w:rPr>
          <w:b/>
          <w:szCs w:val="17"/>
        </w:rPr>
      </w:pPr>
      <w:r>
        <w:rPr>
          <w:szCs w:val="17"/>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U.S.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szCs w:val="17"/>
          <w:u w:val="single"/>
        </w:rPr>
        <w:t>provided, however</w:t>
      </w:r>
      <w:r>
        <w:rPr>
          <w:szCs w:val="17"/>
        </w:rPr>
        <w:t>, that Letters of Credit shall be Transferred by the close of business on the second succeeding Business Day.</w:t>
      </w:r>
    </w:p>
    <w:p>
      <w:pPr>
        <w:pStyle w:val="BodyTextIndent"/>
        <w:rPr/>
      </w:pPr>
      <w:r>
        <w:rPr>
          <w:color w:val="000000"/>
          <w:szCs w:val="17"/>
        </w:rPr>
        <w:t>(b)</w:t>
        <w:tab/>
        <w:t xml:space="preserve">On any Business Day (but no more frequently than weekly), Counterparty may request a reduction in the amount of Performance Assurance previously provided by it, </w:t>
      </w:r>
      <w:r>
        <w:rPr>
          <w:color w:val="000000"/>
          <w:szCs w:val="17"/>
          <w:u w:val="single"/>
        </w:rPr>
        <w:t>provided that</w:t>
      </w:r>
      <w:r>
        <w:rPr>
          <w:color w:val="000000"/>
          <w:szCs w:val="17"/>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Potential Event of Default or Termination Event with respect to Counterparty shall have occurred and be continuing; and (iv) no Early Termination Date for which any unsatisfied payment obligations of Counterparty exist has occurred or been designated as a result of an Event of Default or Termination Event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color w:val="000000"/>
          <w:szCs w:val="17"/>
        </w:rPr>
      </w:pPr>
      <w:r>
        <w:rPr>
          <w:color w:val="000000"/>
          <w:szCs w:val="17"/>
        </w:rPr>
      </w:r>
    </w:p>
    <w:p>
      <w:pPr>
        <w:pStyle w:val="Normal"/>
        <w:ind w:start="720" w:end="0"/>
        <w:jc w:val="both"/>
        <w:rPr/>
      </w:pPr>
      <w:r>
        <w:rPr>
          <w:szCs w:val="17"/>
        </w:rPr>
        <w:t xml:space="preserve">3.  </w:t>
      </w:r>
      <w:r>
        <w:rPr>
          <w:szCs w:val="17"/>
          <w:u w:val="single"/>
        </w:rPr>
        <w:t>Cash Collateral</w:t>
      </w:r>
      <w:r>
        <w:rPr>
          <w:szCs w:val="17"/>
        </w:rPr>
        <w:t>.  Performance Assurance in the form of United States Dollars ("Cash") shall be subject to the following provisions:</w:t>
      </w:r>
    </w:p>
    <w:p>
      <w:pPr>
        <w:pStyle w:val="Normal"/>
        <w:jc w:val="both"/>
        <w:rPr>
          <w:szCs w:val="17"/>
        </w:rPr>
      </w:pPr>
      <w:r>
        <w:rPr>
          <w:szCs w:val="17"/>
        </w:rPr>
      </w:r>
    </w:p>
    <w:p>
      <w:pPr>
        <w:pStyle w:val="Normal"/>
        <w:tabs>
          <w:tab w:val="left" w:pos="720" w:leader="none"/>
        </w:tabs>
        <w:ind w:hanging="720" w:start="1440" w:end="0"/>
        <w:jc w:val="both"/>
        <w:rPr>
          <w:szCs w:val="17"/>
        </w:rPr>
      </w:pPr>
      <w:r>
        <w:rPr>
          <w:szCs w:val="17"/>
        </w:rPr>
        <w:t>(a)</w:t>
        <w:tab/>
        <w:t xml:space="preserve">Unless otherwise agreed in writing by the parties, Cash shall be delivered in accordance with this Annex and to such account specified by ENA in the demand sent to Counterparty pursuant to Section 2 of this Annex. </w:t>
      </w:r>
    </w:p>
    <w:p>
      <w:pPr>
        <w:pStyle w:val="Normal"/>
        <w:tabs>
          <w:tab w:val="left" w:pos="720" w:leader="none"/>
        </w:tabs>
        <w:ind w:hanging="720" w:start="1440" w:end="0"/>
        <w:jc w:val="both"/>
        <w:rPr>
          <w:szCs w:val="17"/>
        </w:rPr>
      </w:pPr>
      <w:r>
        <w:rPr>
          <w:szCs w:val="17"/>
        </w:rPr>
      </w:r>
    </w:p>
    <w:p>
      <w:pPr>
        <w:pStyle w:val="BodyTextIndent2"/>
        <w:rPr>
          <w:sz w:val="20"/>
          <w:szCs w:val="17"/>
        </w:rPr>
      </w:pPr>
      <w:r>
        <w:rPr>
          <w:sz w:val="20"/>
          <w:szCs w:val="17"/>
        </w:rPr>
        <w:t>(b)</w:t>
        <w:tab/>
        <w:tab/>
        <w:t>So long as no Event of Default or Termination Event with respect to Counterparty has occurred and is continuing, and no Early Termination Date for which any unsatisfied payment obligations of Counterparty exist has occurred or been designated as the result of an Event of Default or Termination Event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or Termination Event with respect to Counterparty or an Early Termination Date as a result of an Event of Default or Termination Event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szCs w:val="17"/>
        </w:rPr>
      </w:pPr>
      <w:r>
        <w:rPr>
          <w:szCs w:val="17"/>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szCs w:val="17"/>
        </w:rPr>
      </w:pPr>
      <w:r>
        <w:rPr>
          <w:szCs w:val="17"/>
        </w:rPr>
      </w:r>
    </w:p>
    <w:p>
      <w:pPr>
        <w:pStyle w:val="Normal"/>
        <w:ind w:start="720" w:end="0"/>
        <w:jc w:val="both"/>
        <w:rPr/>
      </w:pPr>
      <w:r>
        <w:rPr>
          <w:szCs w:val="17"/>
        </w:rPr>
        <w:t xml:space="preserve">4.  </w:t>
      </w:r>
      <w:r>
        <w:rPr>
          <w:szCs w:val="17"/>
          <w:u w:val="single"/>
        </w:rPr>
        <w:t>Letters of Credit</w:t>
      </w:r>
      <w:r>
        <w:rPr>
          <w:szCs w:val="17"/>
        </w:rPr>
        <w:t>.  Performance Assurance in the form of a Letter of Credit shall be subject to the following provisions:</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szCs w:val="17"/>
        </w:rPr>
      </w:pPr>
      <w:r>
        <w:rPr>
          <w:szCs w:val="17"/>
        </w:rPr>
      </w:r>
    </w:p>
    <w:p>
      <w:pPr>
        <w:pStyle w:val="Normal"/>
        <w:tabs>
          <w:tab w:val="left" w:pos="720" w:leader="none"/>
        </w:tabs>
        <w:ind w:hanging="720" w:start="1440" w:end="0"/>
        <w:jc w:val="both"/>
        <w:rPr/>
      </w:pPr>
      <w:r>
        <w:rPr>
          <w:szCs w:val="17"/>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szCs w:val="17"/>
          <w:vertAlign w:val="superscript"/>
        </w:rPr>
        <w:t>th</w:t>
      </w:r>
      <w:r>
        <w:rPr>
          <w:szCs w:val="17"/>
        </w:rPr>
        <w:t>) Business Day after the occurrence thereof if only clause (i) under the definition of Letter of Credit Default applies).</w:t>
      </w:r>
    </w:p>
    <w:p>
      <w:pPr>
        <w:pStyle w:val="Normal"/>
        <w:tabs>
          <w:tab w:val="left" w:pos="720" w:leader="none"/>
        </w:tabs>
        <w:ind w:firstLine="90" w:start="1440" w:end="0"/>
        <w:jc w:val="both"/>
        <w:rPr>
          <w:szCs w:val="17"/>
        </w:rPr>
      </w:pPr>
      <w:r>
        <w:rPr>
          <w:szCs w:val="17"/>
        </w:rPr>
      </w:r>
    </w:p>
    <w:p>
      <w:pPr>
        <w:pStyle w:val="Normal"/>
        <w:tabs>
          <w:tab w:val="left" w:pos="720" w:leader="none"/>
        </w:tabs>
        <w:ind w:hanging="720" w:start="1440" w:end="0"/>
        <w:jc w:val="both"/>
        <w:rPr>
          <w:szCs w:val="17"/>
        </w:rPr>
      </w:pPr>
      <w:r>
        <w:rPr>
          <w:szCs w:val="17"/>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szCs w:val="17"/>
        </w:rPr>
      </w:pPr>
      <w:r>
        <w:rPr>
          <w:szCs w:val="17"/>
        </w:rPr>
      </w:r>
    </w:p>
    <w:p>
      <w:pPr>
        <w:pStyle w:val="Normal"/>
        <w:tabs>
          <w:tab w:val="left" w:pos="720" w:leader="none"/>
        </w:tabs>
        <w:ind w:hanging="720" w:start="1440" w:end="0"/>
        <w:jc w:val="both"/>
        <w:rPr>
          <w:szCs w:val="17"/>
        </w:rPr>
      </w:pPr>
      <w:r>
        <w:rPr>
          <w:szCs w:val="17"/>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(e)</w:t>
        <w:tab/>
        <w:t>Upon or at any time after the occurrence or deemed occurrence of an Early Termination Date as a result of a Termination Event and the failure of Counterparty to make all payments due and owing to ENA in accordance with the terms of the Confirmation, ENA may draw on any outstanding Letter of Credit in an amount equal to such amounts owing to it upon submission to the Issuer of one or more certificates in accordance with the specfic requirements of the Letter of Credit.  Counterparty shall remain liable for any amounts owing to ENA and remaining unpaid after the application of the amounts so drawn by ENA.</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(f)</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(g)</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szCs w:val="17"/>
        </w:rPr>
      </w:pPr>
      <w:r>
        <w:rPr>
          <w:szCs w:val="17"/>
        </w:rPr>
      </w:r>
    </w:p>
    <w:p>
      <w:pPr>
        <w:pStyle w:val="Normal"/>
        <w:jc w:val="both"/>
        <w:rPr/>
      </w:pPr>
      <w:r>
        <w:rPr>
          <w:szCs w:val="17"/>
        </w:rPr>
        <w:tab/>
        <w:t xml:space="preserve">5.  </w:t>
      </w:r>
      <w:r>
        <w:rPr>
          <w:szCs w:val="17"/>
          <w:u w:val="single"/>
        </w:rPr>
        <w:t>Additional Representation</w:t>
      </w:r>
      <w:r>
        <w:rPr>
          <w:szCs w:val="17"/>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Cs w:val="17"/>
        </w:rPr>
        <w:tab/>
        <w:tab/>
        <w:t xml:space="preserve">6.  </w:t>
      </w:r>
      <w:r>
        <w:rPr>
          <w:szCs w:val="17"/>
          <w:u w:val="single"/>
        </w:rPr>
        <w:t>ENA's Rights and Remedies</w:t>
      </w:r>
      <w:r>
        <w:rPr>
          <w:szCs w:val="17"/>
        </w:rPr>
        <w:t>.    If at any time (i) an Event of Default or Termination Event with respect to Counterparty has occurred and is continuing or (ii) an Early Termination Date has occurred or been designated as a result of an Event of Default or Termination Event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szCs w:val="17"/>
        </w:rPr>
        <w:tab/>
        <w:tab/>
        <w:t xml:space="preserve">7.  </w:t>
      </w:r>
      <w:r>
        <w:rPr>
          <w:szCs w:val="17"/>
          <w:u w:val="single"/>
        </w:rPr>
        <w:t>Security Interest</w:t>
      </w:r>
      <w:r>
        <w:rPr>
          <w:szCs w:val="17"/>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Cs w:val="17"/>
        </w:rPr>
        <w:t xml:space="preserve">8.  </w:t>
      </w:r>
      <w:r>
        <w:rPr>
          <w:szCs w:val="17"/>
          <w:u w:val="single"/>
        </w:rPr>
        <w:t>General.</w:t>
      </w:r>
    </w:p>
    <w:p>
      <w:pPr>
        <w:pStyle w:val="Normal"/>
        <w:spacing w:before="240" w:after="0"/>
        <w:ind w:hanging="720" w:start="1440" w:end="0"/>
        <w:jc w:val="both"/>
        <w:rPr>
          <w:szCs w:val="17"/>
        </w:rPr>
      </w:pPr>
      <w:r>
        <w:rPr>
          <w:szCs w:val="17"/>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Cs w:val="17"/>
        </w:rPr>
      </w:pPr>
      <w:r>
        <w:rPr>
          <w:szCs w:val="17"/>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szCs w:val="17"/>
        </w:rPr>
      </w:pPr>
      <w:r>
        <w:rPr>
          <w:szCs w:val="17"/>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headerReference w:type="default" r:id="rId15"/>
          <w:headerReference w:type="first" r:id="rId16"/>
          <w:footerReference w:type="default" r:id="rId17"/>
          <w:footerReference w:type="first" r:id="rId18"/>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szCs w:val="17"/>
        </w:rPr>
      </w:pPr>
      <w:r>
        <w:rPr>
          <w:szCs w:val="17"/>
        </w:rPr>
        <w:t>(d)</w:t>
        <w:tab/>
        <w:t>So long as ENA is not a Defaulting Party and no Early Termination Date has occurred or been designated as a result of an Event of Default or Termination Event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szCs w:val="17"/>
        </w:rPr>
      </w:pPr>
      <w:r>
        <w:rPr>
          <w:b/>
          <w:szCs w:val="17"/>
          <w:u w:val="single"/>
        </w:rPr>
        <w:t>SCHEDULE 1</w:t>
      </w:r>
    </w:p>
    <w:p>
      <w:pPr>
        <w:pStyle w:val="Normal"/>
        <w:jc w:val="center"/>
        <w:rPr>
          <w:szCs w:val="17"/>
        </w:rPr>
      </w:pPr>
      <w:r>
        <w:rPr>
          <w:szCs w:val="17"/>
        </w:rPr>
      </w:r>
    </w:p>
    <w:p>
      <w:pPr>
        <w:pStyle w:val="Normal"/>
        <w:jc w:val="center"/>
        <w:rPr>
          <w:szCs w:val="17"/>
        </w:rPr>
      </w:pPr>
      <w:r>
        <w:rPr>
          <w:szCs w:val="17"/>
        </w:rPr>
        <w:t>IRREVOCABLE TRANSFERABLE STANDBY LETTER OF CREDIT FORMAT</w:t>
      </w:r>
    </w:p>
    <w:p>
      <w:pPr>
        <w:pStyle w:val="Normal"/>
        <w:jc w:val="center"/>
        <w:rPr>
          <w:szCs w:val="17"/>
        </w:rPr>
      </w:pPr>
      <w:r>
        <w:rPr>
          <w:szCs w:val="17"/>
        </w:rPr>
        <w:t xml:space="preserve">DATE OF ISSUANCE:  </w:t>
      </w:r>
      <w:r>
        <w:rPr>
          <w:szCs w:val="17"/>
          <w:u w:val="single"/>
        </w:rPr>
        <w:tab/>
        <w:tab/>
        <w:tab/>
      </w:r>
    </w:p>
    <w:p>
      <w:pPr>
        <w:pStyle w:val="Normal"/>
        <w:rPr>
          <w:szCs w:val="17"/>
        </w:rPr>
      </w:pPr>
      <w:r>
        <w:rPr>
          <w:szCs w:val="17"/>
        </w:rPr>
        <w:t>[Address]</w:t>
      </w:r>
    </w:p>
    <w:p>
      <w:pPr>
        <w:pStyle w:val="Normal"/>
        <w:rPr>
          <w:szCs w:val="17"/>
        </w:rPr>
      </w:pPr>
      <w:r>
        <w:rPr>
          <w:szCs w:val="17"/>
        </w:rPr>
        <w:tab/>
        <w:t>Re:  Credit No. _______________</w:t>
      </w:r>
    </w:p>
    <w:p>
      <w:pPr>
        <w:pStyle w:val="Normal"/>
        <w:rPr>
          <w:szCs w:val="17"/>
        </w:rPr>
      </w:pPr>
      <w:r>
        <w:rPr>
          <w:szCs w:val="17"/>
        </w:rPr>
      </w:r>
    </w:p>
    <w:p>
      <w:pPr>
        <w:pStyle w:val="Normal"/>
        <w:jc w:val="both"/>
        <w:rPr/>
      </w:pPr>
      <w:r>
        <w:rPr>
          <w:szCs w:val="17"/>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Cs w:val="17"/>
          <w:u w:val="single"/>
        </w:rPr>
        <w:t>Location</w:t>
      </w:r>
      <w:r>
        <w:rPr>
          <w:szCs w:val="17"/>
        </w:rPr>
        <w:t>) on or before the expiration hereof against presentation to us of one or more of the following statements, dated and signed by a representative of the beneficiary:</w:t>
      </w:r>
    </w:p>
    <w:p>
      <w:pPr>
        <w:pStyle w:val="Normal"/>
        <w:jc w:val="both"/>
        <w:rPr>
          <w:szCs w:val="17"/>
        </w:rPr>
      </w:pPr>
      <w:r>
        <w:rPr>
          <w:szCs w:val="17"/>
        </w:rPr>
      </w:r>
    </w:p>
    <w:p>
      <w:pPr>
        <w:pStyle w:val="Normal"/>
        <w:numPr>
          <w:ilvl w:val="0"/>
          <w:numId w:val="4"/>
        </w:numPr>
        <w:jc w:val="both"/>
        <w:rPr>
          <w:szCs w:val="17"/>
        </w:rPr>
      </w:pPr>
      <w:r>
        <w:rPr>
          <w:szCs w:val="17"/>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4"/>
        </w:numPr>
        <w:jc w:val="both"/>
        <w:rPr>
          <w:szCs w:val="17"/>
        </w:rPr>
      </w:pPr>
      <w:r>
        <w:rPr>
          <w:szCs w:val="17"/>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szCs w:val="17"/>
        </w:rPr>
      </w:pPr>
      <w:r>
        <w:rPr>
          <w:szCs w:val="17"/>
        </w:rPr>
      </w:r>
    </w:p>
    <w:p>
      <w:pPr>
        <w:pStyle w:val="Normal"/>
        <w:tabs>
          <w:tab w:val="left" w:pos="720" w:leader="none"/>
        </w:tabs>
        <w:jc w:val="both"/>
        <w:rPr>
          <w:szCs w:val="17"/>
        </w:rPr>
      </w:pPr>
      <w:r>
        <w:rPr>
          <w:szCs w:val="17"/>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We hereby agree with you that documents drawn under and in compliance with the terms of this Letter of Credit shall be duly honored upon presentation as specified.</w:t>
      </w:r>
    </w:p>
    <w:p>
      <w:pPr>
        <w:pStyle w:val="Normal"/>
        <w:tabs>
          <w:tab w:val="left" w:pos="720" w:leader="none"/>
        </w:tabs>
        <w:jc w:val="both"/>
        <w:rPr>
          <w:szCs w:val="17"/>
        </w:rPr>
      </w:pPr>
      <w:r>
        <w:rPr>
          <w:szCs w:val="17"/>
        </w:rPr>
      </w:r>
    </w:p>
    <w:p>
      <w:pPr>
        <w:pStyle w:val="BodyText2"/>
        <w:rPr/>
      </w:pPr>
      <w:r>
        <w:rPr>
          <w:szCs w:val="17"/>
        </w:rPr>
        <w:tab/>
      </w:r>
      <w:r>
        <w:rPr>
          <w:color w:val="000000"/>
          <w:szCs w:val="17"/>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szCs w:val="17"/>
        </w:rPr>
      </w:pPr>
      <w:r>
        <w:rPr>
          <w:color w:val="000000"/>
          <w:szCs w:val="17"/>
        </w:rPr>
      </w:r>
    </w:p>
    <w:p>
      <w:pPr>
        <w:pStyle w:val="BodyText"/>
        <w:ind w:firstLine="720" w:end="0"/>
        <w:rPr>
          <w:szCs w:val="17"/>
        </w:rPr>
      </w:pPr>
      <w:r>
        <w:rPr>
          <w:szCs w:val="17"/>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szCs w:val="17"/>
        </w:rPr>
      </w:pPr>
      <w:r>
        <w:rPr>
          <w:szCs w:val="17"/>
        </w:rPr>
      </w:r>
    </w:p>
    <w:p>
      <w:pPr>
        <w:pStyle w:val="Normal"/>
        <w:tabs>
          <w:tab w:val="clear" w:pos="720"/>
          <w:tab w:val="left" w:pos="4320" w:leader="none"/>
          <w:tab w:val="left" w:pos="5040" w:leader="none"/>
          <w:tab w:val="left" w:pos="5760" w:leader="none"/>
        </w:tabs>
        <w:ind w:start="5040" w:end="0"/>
        <w:rPr>
          <w:szCs w:val="17"/>
        </w:rPr>
      </w:pPr>
      <w:r>
        <w:rPr>
          <w:szCs w:val="17"/>
        </w:rPr>
        <w:t>[BANK SIGNATURE]</w:t>
      </w:r>
    </w:p>
    <w:sectPr>
      <w:headerReference w:type="default" r:id="rId19"/>
      <w:headerReference w:type="first" r:id="rId20"/>
      <w:footerReference w:type="default" r:id="rId21"/>
      <w:footerReference w:type="first" r:id="rId22"/>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6</w:t>
    </w:r>
    <w:r>
      <w:rPr>
        <w:sz w:val="15"/>
        <w:szCs w:val="15"/>
      </w:rPr>
      <w:fldChar w:fldCharType="end"/>
    </w:r>
  </w:p>
  <w:p>
    <w:pPr>
      <w:pStyle w:val="Normal"/>
      <w:jc w:val="center"/>
      <w:rPr>
        <w:sz w:val="17"/>
        <w:szCs w:val="17"/>
      </w:rPr>
    </w:pPr>
    <w:r>
      <w:rPr>
        <w:sz w:val="17"/>
        <w:szCs w:val="17"/>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7</w:t>
    </w:r>
    <w:r>
      <w:rPr>
        <w:rStyle w:val="PageNumber"/>
        <w:sz w:val="15"/>
        <w:szCs w:val="15"/>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/mnt/main-storage/datasets/enron-docs/doc/016conf_petroquim_.doc</w:t>
    </w:r>
    <w:r>
      <w:rPr>
        <w:rStyle w:val="PageNumber"/>
        <w:sz w:val="14"/>
        <w:szCs w:val="14"/>
      </w:rPr>
      <w:fldChar w:fldCharType="end"/>
    </w:r>
  </w:p>
  <w:p>
    <w:pPr>
      <w:pStyle w:val="Footer"/>
      <w:rPr>
        <w:rStyle w:val="PageNumber"/>
        <w:sz w:val="14"/>
        <w:szCs w:val="14"/>
      </w:rPr>
    </w:pPr>
    <w:r>
      <w:rPr/>
    </w:r>
  </w:p>
  <w:p>
    <w:pPr>
      <w:pStyle w:val="Footer"/>
      <w:jc w:val="center"/>
      <w:rPr/>
    </w:pP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1</w:t>
    </w:r>
    <w:r>
      <w:rPr>
        <w:rStyle w:val="PageNumber"/>
        <w:sz w:val="15"/>
        <w:szCs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sz w:val="15"/>
        <w:szCs w:val="15"/>
      </w:rPr>
      <w:t>Exhibit 1</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2</w:t>
    </w:r>
    <w:r>
      <w:rPr>
        <w:rStyle w:val="PageNumber"/>
        <w:sz w:val="15"/>
        <w:szCs w:val="15"/>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9"/>
        <w:szCs w:val="19"/>
      </w:rPr>
    </w:pPr>
    <w:r>
      <w:rPr>
        <w:sz w:val="19"/>
        <w:szCs w:val="19"/>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9"/>
        <w:szCs w:val="19"/>
      </w:rPr>
    </w:pPr>
    <w:r>
      <w:rPr>
        <w:sz w:val="19"/>
        <w:szCs w:val="19"/>
      </w:rPr>
    </w:r>
  </w:p>
  <w:p>
    <w:pPr>
      <w:pStyle w:val="Footer"/>
      <w:jc w:val="center"/>
      <w:rPr>
        <w:sz w:val="15"/>
        <w:szCs w:val="15"/>
      </w:rPr>
    </w:pPr>
    <w:r>
      <w:rPr>
        <w:sz w:val="15"/>
        <w:szCs w:val="15"/>
      </w:rPr>
      <w:t>Annex B</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2</w:t>
    </w:r>
    <w:r>
      <w:rPr>
        <w:rStyle w:val="PageNumber"/>
        <w:sz w:val="15"/>
        <w:szCs w:val="15"/>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5</w:t>
    </w:r>
    <w:r>
      <w:rPr>
        <w:rStyle w:val="PageNumber"/>
        <w:sz w:val="15"/>
        <w:szCs w:val="15"/>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2"/>
      <w:numFmt w:val="lowerLetter"/>
      <w:lvlText w:val="(%1)"/>
      <w:lvlJc w:val="start"/>
      <w:pPr>
        <w:tabs>
          <w:tab w:val="num" w:pos="1440"/>
        </w:tabs>
        <w:ind w:start="144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2001-08-28T13:09:00Z</dcterms:created>
  <dc:creator>mheard</dc:creator>
  <dc:description/>
  <dc:language>en-CA</dc:language>
  <cp:lastModifiedBy>mheard</cp:lastModifiedBy>
  <cp:lastPrinted>2001-08-28T16:21:00Z</cp:lastPrinted>
  <dcterms:modified xsi:type="dcterms:W3CDTF">2001-08-28T18:52:00Z</dcterms:modified>
  <cp:revision>5</cp:revision>
  <dc:subject/>
  <dc:title>“DEEMED ISDA” CONFIRMATION</dc:title>
</cp:coreProperties>
</file>