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06/25/2001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SHELL TRADING (US) COMPANY, a corporation organized under the law of the State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and with respect to Party B’s Credit Support Provider, U.S. $100,000,000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corporation organized under the laws of the State of ________________.</w:t>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 and Party B</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Shell Trading (US) Company</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 Shell Plaza, 910 Louisiana</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Houston, Texas  77002</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Royal Dutch Shell/Group of Companies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Royal Dutch Shell/Group of Companies.</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and/or Party B may transfer its rights and obligations under this Agreement, in whole but not in part, to any Affiliate so long as the obligations of such Affiliate are guaranteed by Enron Corp., with respect to Party A, and Royal Dutch Shell/Group of Companies, with respect to Party B, pursuant to a guaranty substantially similar to the one provided on behalf of Party A and Party B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SHELL TRADING (US) COMPANY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SHELL TRADING (US) COMPANY, a corporation organized under the law of the State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$15,000,000 and with respect to Party B, U.S. $30,000,000;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w:t>
      </w:r>
      <w:r>
        <w:rPr>
          <w:color w:val="FF0000"/>
          <w:sz w:val="22"/>
          <w:szCs w:val="22"/>
        </w:rPr>
        <w:t xml:space="preserve"> </w:t>
      </w:r>
      <w:r>
        <w:rPr>
          <w:sz w:val="22"/>
          <w:szCs w:val="22"/>
        </w:rPr>
        <w:t>or its Credit Support Provider fails to have a Credit Rating from S&amp;P; or (b) with respect to Party B, its Credit Support Provider’s Credit Rating is below “BBB-” by S&amp;P or its Credit Support Provider fails to have a Credit Rating from S&amp;P.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SHELL TRADING (US) COMPANY, a </w:t>
      </w:r>
      <w:r>
        <w:rPr>
          <w:sz w:val="22"/>
          <w:szCs w:val="22"/>
          <w:u w:val="single"/>
        </w:rPr>
        <w:tab/>
        <w:tab/>
        <w:tab/>
      </w:r>
      <w:r>
        <w:rPr>
          <w:sz w:val="22"/>
          <w:szCs w:val="22"/>
        </w:rPr>
        <w:t xml:space="preserve">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Shell Trading (US) Company</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 Shell Plaza, 910 Louisiana</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Houston, Texas  77002</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EXHIBIT 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sz w:val="22"/>
          <w:szCs w:val="22"/>
        </w:rPr>
        <w:t>ROYAL DUTCH SHELL/GROUP OF COMPANIES</w:t>
      </w:r>
    </w:p>
    <w:p>
      <w:pPr>
        <w:pStyle w:val="Normal"/>
        <w:ind w:end="720"/>
        <w:jc w:val="center"/>
        <w:rPr>
          <w:b/>
          <w:bCs/>
          <w:color w:val="000000"/>
          <w:sz w:val="22"/>
          <w:szCs w:val="22"/>
        </w:rPr>
      </w:pPr>
      <w:r>
        <w:rPr>
          <w:b/>
          <w:bCs/>
          <w:color w:val="000000"/>
          <w:sz w:val="22"/>
          <w:szCs w:val="22"/>
        </w:rPr>
      </w:r>
    </w:p>
    <w:p>
      <w:pPr>
        <w:pStyle w:val="Heading7"/>
        <w:rPr/>
      </w:pPr>
      <w:r>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200</w:t>
      </w:r>
      <w:r>
        <w:rPr>
          <w:sz w:val="22"/>
          <w:szCs w:val="22"/>
          <w:u w:val="single"/>
        </w:rPr>
        <w:tab/>
        <w:t xml:space="preserve"> </w:t>
      </w:r>
      <w:r>
        <w:rPr>
          <w:sz w:val="22"/>
          <w:szCs w:val="22"/>
        </w:rPr>
        <w:t xml:space="preserve"> (the “Effective Date”), is made and entered into by ROYAL DUTCH SHELL/GROUP OF COMPANIES,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SHELL TRADING (US) COMPANY, a wholly owned subsidiary of Guarantor (“Counterparty”), and </w:t>
      </w:r>
      <w:r>
        <w:rPr>
          <w:caps/>
          <w:sz w:val="22"/>
          <w:szCs w:val="22"/>
        </w:rPr>
        <w:t>Enron NORTH AMERICA Corp.</w:t>
      </w:r>
      <w:r>
        <w:rPr>
          <w:sz w:val="22"/>
          <w:szCs w:val="22"/>
        </w:rPr>
        <w:t>,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ind w:hanging="0" w:end="0"/>
        <w:rPr/>
      </w:pPr>
      <w:r>
        <w:rPr/>
        <w:t>(b)  The aggregate amount covered by this Guaranty shall not exceed U.S. $30,000,000.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corporation duly organized and validly existing under the laws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ind w:hanging="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Enron North America Corp.</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BodyText"/>
              <w:keepNext w:val="true"/>
              <w:keepLines/>
              <w:widowControl/>
              <w:tabs>
                <w:tab w:val="clear" w:pos="720"/>
                <w:tab w:val="right" w:pos="2988" w:leader="none"/>
              </w:tabs>
              <w:spacing w:lineRule="atLeast" w:line="240"/>
              <w:rPr/>
            </w:pPr>
            <w:r>
              <w:rPr/>
              <w:t>Royal Dutch Shell/Group of Companies</w:t>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200_,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b/>
          <w:bCs/>
          <w:sz w:val="22"/>
          <w:szCs w:val="22"/>
        </w:rPr>
      </w:pPr>
      <w:r>
        <w:rPr>
          <w:b/>
          <w:bCs/>
          <w:sz w:val="22"/>
          <w:szCs w:val="22"/>
        </w:rPr>
        <w:t>ROYAL DUTCH SHELL/GROUP OF</w:t>
      </w:r>
    </w:p>
    <w:p>
      <w:pPr>
        <w:pStyle w:val="Normal"/>
        <w:spacing w:lineRule="exact" w:line="240"/>
        <w:ind w:start="5040" w:end="0"/>
        <w:jc w:val="both"/>
        <w:rPr>
          <w:sz w:val="22"/>
          <w:szCs w:val="22"/>
        </w:rPr>
      </w:pPr>
      <w:r>
        <w:rPr>
          <w:b/>
          <w:bCs/>
          <w:sz w:val="22"/>
          <w:szCs w:val="22"/>
        </w:rPr>
        <w:t>COMPANIES</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keepNext w:val="true"/>
        <w:jc w:val="center"/>
        <w:rPr/>
      </w:pPr>
      <w:r>
        <w:rPr/>
      </w:r>
    </w:p>
    <w:sectPr>
      <w:headerReference w:type="default" r:id="rId16"/>
      <w:headerReference w:type="first" r:id="rId17"/>
      <w:footerReference w:type="default" r:id="rId18"/>
      <w:footerReference w:type="first" r:id="rId19"/>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/mnt/main-storage/datasets/enron-docs/doc/015ctr_shelltrading_.doc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/mnt/main-storage/datasets/enron-docs/doc/015ctr_shelltrading_.doc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/mnt/main-storage/datasets/enron-docs/doc/015ctr_shelltrading_.doc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/mnt/main-storage/datasets/enron-docs/doc/015ctr_shelltrading_.doc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paragraph" w:styleId="Heading7">
    <w:name w:val="heading 7"/>
    <w:basedOn w:val="Normal"/>
    <w:next w:val="Normal"/>
    <w:qFormat/>
    <w:pPr>
      <w:keepNext w:val="true"/>
      <w:numPr>
        <w:ilvl w:val="6"/>
        <w:numId w:val="1"/>
      </w:numPr>
      <w:spacing w:lineRule="exact" w:line="240"/>
      <w:ind w:hanging="0" w:start="0" w:end="720"/>
      <w:jc w:val="center"/>
      <w:outlineLvl w:val="6"/>
    </w:pPr>
    <w:rPr>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2001-06-25T12:51:00Z</dcterms:created>
  <dc:creator>mheard</dc:creator>
  <dc:description/>
  <dc:language>en-CA</dc:language>
  <cp:lastModifiedBy>mheard</cp:lastModifiedBy>
  <cp:lastPrinted>2001-06-25T11:39:00Z</cp:lastPrinted>
  <dcterms:modified xsi:type="dcterms:W3CDTF">2001-06-25T14:09:00Z</dcterms:modified>
  <cp:revision>5</cp:revision>
  <dc:subject/>
  <dc:title>ISDA Multicurrency Agreement</dc:title>
</cp:coreProperties>
</file>