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t>DRAFT OF 07/23/2001</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200__</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FERRELLGAS, L.P., a limited partnership organized under the law of the State of Delaware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for the purpose of:</w:t>
      </w:r>
    </w:p>
    <w:p>
      <w:pPr>
        <w:pStyle w:val="Normal"/>
        <w:ind w:firstLine="720" w:end="0"/>
        <w:jc w:val="both"/>
        <w:rPr>
          <w:sz w:val="22"/>
          <w:szCs w:val="22"/>
        </w:rPr>
      </w:pPr>
      <w:r>
        <w:rPr>
          <w:sz w:val="22"/>
          <w:szCs w:val="22"/>
        </w:rPr>
      </w:r>
    </w:p>
    <w:p>
      <w:pPr>
        <w:pStyle w:val="Normal"/>
        <w:tabs>
          <w:tab w:val="clear" w:pos="720"/>
          <w:tab w:val="left" w:pos="5760" w:leader="none"/>
        </w:tabs>
        <w:ind w:start="1440" w:end="0"/>
        <w:jc w:val="both"/>
        <w:rPr>
          <w:sz w:val="22"/>
          <w:szCs w:val="22"/>
        </w:rPr>
      </w:pPr>
      <w:r>
        <w:rPr>
          <w:sz w:val="22"/>
          <w:szCs w:val="22"/>
        </w:rPr>
        <w:t>Section 5(a)(v), none;</w:t>
      </w:r>
    </w:p>
    <w:p>
      <w:pPr>
        <w:pStyle w:val="Normal"/>
        <w:tabs>
          <w:tab w:val="clear" w:pos="720"/>
          <w:tab w:val="left" w:pos="5760" w:leader="none"/>
        </w:tabs>
        <w:ind w:start="1440" w:end="0"/>
        <w:jc w:val="both"/>
        <w:rPr>
          <w:sz w:val="22"/>
          <w:szCs w:val="22"/>
        </w:rPr>
      </w:pPr>
      <w:r>
        <w:rPr>
          <w:sz w:val="22"/>
          <w:szCs w:val="22"/>
        </w:rPr>
        <w:t>Section 5(a)(vi), none;</w:t>
      </w:r>
    </w:p>
    <w:p>
      <w:pPr>
        <w:pStyle w:val="Normal"/>
        <w:tabs>
          <w:tab w:val="clear" w:pos="720"/>
          <w:tab w:val="left" w:pos="5760" w:leader="none"/>
        </w:tabs>
        <w:ind w:start="1440" w:end="0"/>
        <w:jc w:val="both"/>
        <w:rPr>
          <w:sz w:val="22"/>
          <w:szCs w:val="22"/>
        </w:rPr>
      </w:pPr>
      <w:r>
        <w:rPr>
          <w:sz w:val="22"/>
          <w:szCs w:val="22"/>
        </w:rPr>
        <w:t>Section 5(a)(vii), none;</w:t>
      </w:r>
    </w:p>
    <w:p>
      <w:pPr>
        <w:pStyle w:val="Normal"/>
        <w:tabs>
          <w:tab w:val="clear" w:pos="720"/>
          <w:tab w:val="left" w:pos="5760" w:leader="none"/>
        </w:tabs>
        <w:ind w:start="1440" w:end="0"/>
        <w:jc w:val="both"/>
        <w:rPr>
          <w:sz w:val="22"/>
          <w:szCs w:val="22"/>
        </w:rPr>
      </w:pPr>
      <w:r>
        <w:rPr>
          <w:sz w:val="22"/>
          <w:szCs w:val="22"/>
        </w:rPr>
        <w:t>Section 5(b)(iv), none;</w:t>
      </w:r>
    </w:p>
    <w:p>
      <w:pPr>
        <w:pStyle w:val="Normal"/>
        <w:spacing w:lineRule="exact" w:line="240" w:before="240" w:after="0"/>
        <w:ind w:start="1440" w:end="0"/>
        <w:jc w:val="both"/>
        <w:rPr>
          <w:sz w:val="22"/>
          <w:szCs w:val="22"/>
        </w:rPr>
      </w:pPr>
      <w:r>
        <w:rPr>
          <w:sz w:val="22"/>
          <w:szCs w:val="22"/>
        </w:rPr>
        <w:t>and in relation to Party B, for the purpose of:</w:t>
      </w:r>
    </w:p>
    <w:p>
      <w:pPr>
        <w:pStyle w:val="Normal"/>
        <w:ind w:start="1440" w:end="0"/>
        <w:jc w:val="both"/>
        <w:rPr>
          <w:sz w:val="22"/>
          <w:szCs w:val="22"/>
        </w:rPr>
      </w:pPr>
      <w:r>
        <w:rPr>
          <w:sz w:val="22"/>
          <w:szCs w:val="22"/>
        </w:rPr>
      </w:r>
    </w:p>
    <w:p>
      <w:pPr>
        <w:pStyle w:val="Normal"/>
        <w:ind w:start="1440" w:end="0"/>
        <w:jc w:val="both"/>
        <w:rPr>
          <w:sz w:val="22"/>
          <w:szCs w:val="22"/>
        </w:rPr>
      </w:pPr>
      <w:r>
        <w:rPr>
          <w:sz w:val="22"/>
          <w:szCs w:val="22"/>
        </w:rPr>
      </w:r>
    </w:p>
    <w:p>
      <w:pPr>
        <w:pStyle w:val="Normal"/>
        <w:tabs>
          <w:tab w:val="clear" w:pos="720"/>
          <w:tab w:val="left" w:pos="5760" w:leader="none"/>
        </w:tabs>
        <w:ind w:start="1440" w:end="0"/>
        <w:jc w:val="both"/>
        <w:rPr>
          <w:sz w:val="22"/>
          <w:szCs w:val="22"/>
        </w:rPr>
      </w:pPr>
      <w:r>
        <w:rPr>
          <w:sz w:val="22"/>
          <w:szCs w:val="22"/>
        </w:rPr>
        <w:t>Section 5(a)(v), FerrellGas, Inc. and FerrellGas Partners, L.P.;</w:t>
      </w:r>
    </w:p>
    <w:p>
      <w:pPr>
        <w:pStyle w:val="Normal"/>
        <w:tabs>
          <w:tab w:val="clear" w:pos="720"/>
          <w:tab w:val="left" w:pos="5760" w:leader="none"/>
        </w:tabs>
        <w:ind w:start="1440" w:end="0"/>
        <w:jc w:val="both"/>
        <w:rPr>
          <w:sz w:val="22"/>
          <w:szCs w:val="22"/>
        </w:rPr>
      </w:pPr>
      <w:r>
        <w:rPr>
          <w:sz w:val="22"/>
          <w:szCs w:val="22"/>
        </w:rPr>
        <w:t>Section 5(a)(vi), FerrellGas, Inc. and FerrellGas Partners, L.P.;</w:t>
      </w:r>
    </w:p>
    <w:p>
      <w:pPr>
        <w:pStyle w:val="Normal"/>
        <w:tabs>
          <w:tab w:val="clear" w:pos="720"/>
          <w:tab w:val="left" w:pos="5760" w:leader="none"/>
        </w:tabs>
        <w:ind w:start="1440" w:end="0"/>
        <w:jc w:val="both"/>
        <w:rPr>
          <w:sz w:val="22"/>
          <w:szCs w:val="22"/>
        </w:rPr>
      </w:pPr>
      <w:r>
        <w:rPr>
          <w:sz w:val="22"/>
          <w:szCs w:val="22"/>
        </w:rPr>
        <w:t>Section 5(a)(vii), FerrellGas, Inc. and FerrellGas Partners, L.P.;</w:t>
      </w:r>
    </w:p>
    <w:p>
      <w:pPr>
        <w:pStyle w:val="Normal"/>
        <w:tabs>
          <w:tab w:val="clear" w:pos="720"/>
          <w:tab w:val="left" w:pos="5760" w:leader="none"/>
        </w:tabs>
        <w:ind w:start="1440" w:end="0"/>
        <w:jc w:val="both"/>
        <w:rPr>
          <w:sz w:val="22"/>
          <w:szCs w:val="22"/>
          <w:u w:val="single"/>
        </w:rPr>
      </w:pPr>
      <w:r>
        <w:rPr>
          <w:sz w:val="22"/>
          <w:szCs w:val="22"/>
        </w:rPr>
        <w:t>Section 5(b)(iv), FerrellGas, Inc. and FerrellGas Partners, L.P.</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sz w:val="22"/>
          <w:szCs w:val="22"/>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$10,000,000 (or its equivalent in another currency)</w:t>
      </w:r>
      <w:r>
        <w:rPr>
          <w:color w:val="000000"/>
          <w:sz w:val="22"/>
          <w:szCs w:val="22"/>
        </w:rPr>
        <w:t xml:space="preserve">;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r>
        <w:rPr>
          <w:color w:val="000000"/>
          <w:sz w:val="22"/>
          <w:szCs w:val="22"/>
        </w:rPr>
        <w: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(i)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(h)</w:t>
      </w:r>
      <w:r>
        <w:rPr>
          <w:b/>
          <w:bCs/>
          <w:sz w:val="22"/>
          <w:szCs w:val="22"/>
        </w:rPr>
        <w:tab/>
        <w:t>“Contractual Currency”</w:t>
      </w:r>
      <w:r>
        <w:rPr>
          <w:sz w:val="22"/>
          <w:szCs w:val="22"/>
        </w:rPr>
        <w:t xml:space="preserve"> unless otherwise specified in a Confirmation, shall mean United States Dollars.</w:t>
      </w:r>
    </w:p>
    <w:p>
      <w:pPr>
        <w:pStyle w:val="Normal"/>
        <w:spacing w:lineRule="exact" w:line="240" w:before="480" w:after="0"/>
        <w:jc w:val="both"/>
        <w:rPr>
          <w:b/>
          <w:bCs/>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start="900" w:end="0"/>
        <w:jc w:val="both"/>
        <w:rPr>
          <w:sz w:val="22"/>
          <w:szCs w:val="22"/>
        </w:rPr>
      </w:pPr>
      <w:r>
        <w:rPr>
          <w:sz w:val="22"/>
          <w:szCs w:val="22"/>
        </w:rPr>
        <w:t>Party B is a limited partnership organized under the laws of the State of Delaware.</w:t>
      </w:r>
    </w:p>
    <w:p>
      <w:pPr>
        <w:pStyle w:val="Normal"/>
        <w:keepNext w:val="true"/>
        <w:spacing w:lineRule="exact" w:line="240" w:before="480" w:after="0"/>
        <w:jc w:val="both"/>
        <w:rPr>
          <w:sz w:val="22"/>
          <w:szCs w:val="22"/>
        </w:rPr>
      </w:pPr>
      <w:r>
        <w:rPr>
          <w:b/>
          <w:bCs/>
          <w:sz w:val="22"/>
          <w:szCs w:val="22"/>
        </w:rPr>
        <w:t>Part 3.  Agreement to Deliver Documents.</w:t>
      </w:r>
    </w:p>
    <w:p>
      <w:pPr>
        <w:pStyle w:val="Normal"/>
        <w:keepNext w:val="true"/>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keepNext w:val="true"/>
        <w:spacing w:lineRule="exact" w:line="240" w:before="240" w:after="0"/>
        <w:ind w:firstLine="720" w:end="0"/>
        <w:jc w:val="both"/>
        <w:rPr>
          <w:color w:val="000000"/>
          <w:sz w:val="22"/>
          <w:szCs w:val="22"/>
        </w:rPr>
      </w:pPr>
      <w:r>
        <w:rPr>
          <w:color w:val="000000"/>
          <w:sz w:val="22"/>
          <w:szCs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keepNext w:val="true"/>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keepNext w:val="true"/>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keepNext w:val="true"/>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keepNext w:val="true"/>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keepNext w:val="true"/>
              <w:spacing w:lineRule="atLeast" w:line="240" w:before="240" w:after="0"/>
              <w:jc w:val="both"/>
              <w:rPr>
                <w:b/>
                <w:bCs/>
                <w:sz w:val="22"/>
                <w:szCs w:val="22"/>
              </w:rPr>
            </w:pPr>
            <w:r>
              <w:rPr>
                <w:sz w:val="22"/>
                <w:szCs w:val="22"/>
              </w:rPr>
              <w:t>Party A</w:t>
            </w:r>
          </w:p>
        </w:tc>
        <w:tc>
          <w:tcPr>
            <w:tcW w:w="3886" w:type="dxa"/>
            <w:tcBorders/>
          </w:tcPr>
          <w:p>
            <w:pPr>
              <w:pStyle w:val="Justified"/>
              <w:keepNext w:val="true"/>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keepNext w:val="true"/>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keepNext w:val="true"/>
              <w:spacing w:lineRule="atLeast" w:line="240" w:before="240" w:after="0"/>
              <w:jc w:val="center"/>
              <w:rPr>
                <w:b/>
                <w:bCs/>
                <w:sz w:val="22"/>
                <w:szCs w:val="22"/>
              </w:rPr>
            </w:pPr>
            <w:r>
              <w:rPr>
                <w:sz w:val="22"/>
                <w:szCs w:val="22"/>
              </w:rPr>
              <w:t>Yes</w:t>
            </w:r>
          </w:p>
        </w:tc>
      </w:tr>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A and Party B</w:t>
            </w:r>
          </w:p>
        </w:tc>
        <w:tc>
          <w:tcPr>
            <w:tcW w:w="3886" w:type="dxa"/>
            <w:tcBorders/>
          </w:tcPr>
          <w:p>
            <w:pPr>
              <w:pStyle w:val="Normal"/>
              <w:tabs>
                <w:tab w:val="clear" w:pos="720"/>
                <w:tab w:val="left" w:pos="990" w:leader="none"/>
              </w:tabs>
              <w:spacing w:lineRule="exact" w:line="240" w:before="240" w:after="0"/>
              <w:jc w:val="both"/>
              <w:rPr>
                <w:color w:val="FF0000"/>
                <w:sz w:val="22"/>
                <w:szCs w:val="22"/>
              </w:rPr>
            </w:pPr>
            <w:r>
              <w:rPr>
                <w:sz w:val="22"/>
                <w:szCs w:val="22"/>
              </w:rPr>
              <w:t>United States Internal Revenue Service Form W</w:t>
              <w:noBreakHyphen/>
              <w:t>9</w:t>
            </w:r>
          </w:p>
          <w:p>
            <w:pPr>
              <w:pStyle w:val="Justified"/>
              <w:keepNext w:val="true"/>
              <w:widowControl/>
              <w:spacing w:lineRule="atLeast" w:line="240" w:before="240" w:after="0"/>
              <w:rPr>
                <w:rFonts w:ascii="Times New Roman" w:hAnsi="Times New Roman" w:cs="Times New Roman"/>
                <w:color w:val="FF0000"/>
                <w:sz w:val="22"/>
                <w:szCs w:val="22"/>
              </w:rPr>
            </w:pPr>
            <w:r>
              <w:rPr>
                <w:rFonts w:cs="Times New Roman" w:ascii="Times New Roman" w:hAnsi="Times New Roman"/>
                <w:color w:val="FF0000"/>
                <w:sz w:val="22"/>
                <w:szCs w:val="22"/>
              </w:rPr>
            </w:r>
          </w:p>
        </w:tc>
        <w:tc>
          <w:tcPr>
            <w:tcW w:w="2228" w:type="dxa"/>
            <w:tcBorders/>
          </w:tcPr>
          <w:p>
            <w:pPr>
              <w:pStyle w:val="Normal"/>
              <w:keepNext w:val="true"/>
              <w:spacing w:lineRule="atLeast" w:line="240" w:before="240" w:after="0"/>
              <w:jc w:val="both"/>
              <w:rPr>
                <w:sz w:val="22"/>
                <w:szCs w:val="22"/>
              </w:rPr>
            </w:pPr>
            <w:r>
              <w:rPr>
                <w:sz w:val="22"/>
                <w:szCs w:val="22"/>
              </w:rPr>
              <w:t xml:space="preserve">At execution of this Master Agreement and as otherwise provided in this Part 3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color w:val="993300"/>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(or in the case of Party B, its certificate of limited partnership and partnership agreement or other constituent documents)</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sz w:val="22"/>
                <w:szCs w:val="22"/>
              </w:rPr>
            </w:pPr>
            <w:r>
              <w:rPr>
                <w:sz w:val="22"/>
                <w:szCs w:val="22"/>
              </w:rPr>
              <w:t>Yes</w:t>
            </w:r>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FerrellGas, L.P.</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500 Dallas, Suite 2700</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Houston, Texas  77002</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bCs/>
          <w:color w:val="FF0000"/>
          <w:sz w:val="22"/>
          <w:szCs w:val="22"/>
        </w:rPr>
      </w:pPr>
      <w:r>
        <w:rPr>
          <w:b/>
          <w:bCs/>
          <w:color w:val="FF0000"/>
          <w:sz w:val="22"/>
          <w:szCs w:val="22"/>
        </w:rPr>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keepNext w:val="true"/>
        <w:spacing w:lineRule="exact" w:line="240"/>
        <w:ind w:firstLine="630" w:end="0"/>
        <w:jc w:val="both"/>
        <w:rPr/>
      </w:pPr>
      <w:r>
        <w:rPr>
          <w:sz w:val="22"/>
          <w:szCs w:val="22"/>
        </w:rPr>
        <w:t>(j)</w:t>
        <w:tab/>
      </w:r>
      <w:r>
        <w:rPr>
          <w:b/>
          <w:bCs/>
          <w:sz w:val="22"/>
          <w:szCs w:val="22"/>
        </w:rPr>
        <w:t>Transfer.</w:t>
      </w:r>
      <w:r>
        <w:rPr>
          <w:sz w:val="22"/>
          <w:szCs w:val="22"/>
        </w:rPr>
        <w:t xml:space="preserve">  Section 7 is hereby amended by adding the following Subsection (c):</w:t>
      </w:r>
    </w:p>
    <w:p>
      <w:pPr>
        <w:pStyle w:val="Normal"/>
        <w:keepNext w:val="true"/>
        <w:spacing w:lineRule="exact" w:line="240"/>
        <w:ind w:firstLine="630" w:end="0"/>
        <w:jc w:val="both"/>
        <w:rPr>
          <w:sz w:val="22"/>
          <w:szCs w:val="22"/>
        </w:rPr>
      </w:pPr>
      <w:r>
        <w:rPr>
          <w:sz w:val="22"/>
          <w:szCs w:val="22"/>
        </w:rPr>
      </w:r>
    </w:p>
    <w:p>
      <w:pPr>
        <w:pStyle w:val="Normal"/>
        <w:keepNext w:val="true"/>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(m)</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autoSpaceDE w:val="false"/>
        <w:spacing w:lineRule="atLeast" w:line="240"/>
        <w:rPr>
          <w:b/>
          <w:bCs/>
          <w:color w:val="FF0000"/>
          <w:sz w:val="22"/>
          <w:szCs w:val="22"/>
        </w:rPr>
      </w:pPr>
      <w:r>
        <w:rPr>
          <w:b/>
          <w:bCs/>
          <w:color w:val="FF0000"/>
          <w:sz w:val="22"/>
          <w:szCs w:val="22"/>
        </w:rPr>
      </w:r>
    </w:p>
    <w:p>
      <w:pPr>
        <w:pStyle w:val="Normal"/>
        <w:autoSpaceDE w:val="false"/>
        <w:spacing w:lineRule="atLeast" w:line="240"/>
        <w:ind w:firstLine="720" w:end="0"/>
        <w:jc w:val="both"/>
        <w:rPr>
          <w:b/>
          <w:bCs/>
          <w:color w:val="FF0000"/>
          <w:sz w:val="22"/>
          <w:szCs w:val="22"/>
        </w:rPr>
      </w:pPr>
      <w:r>
        <w:rPr>
          <w:color w:val="000000"/>
          <w:sz w:val="22"/>
          <w:szCs w:val="22"/>
        </w:rPr>
        <w:t>(n)</w:t>
        <w:tab/>
      </w:r>
      <w:r>
        <w:rPr>
          <w:b/>
          <w:bCs/>
          <w:color w:val="000000"/>
          <w:sz w:val="22"/>
          <w:szCs w:val="22"/>
        </w:rPr>
        <w:t>Existing Agreement.</w:t>
      </w:r>
      <w:r>
        <w:rPr>
          <w:color w:val="000000"/>
          <w:sz w:val="22"/>
          <w:szCs w:val="22"/>
        </w:rPr>
        <w:t xml:space="preserve">  The Parties have entered into a Master Agreement dated as of (the “Prior Agreement”), and have entered into Transactions under the Prior Agreement (the “Existing Transactions”).  The parties agree that this Agreement shall supercede and replace the Prior Agreement and that the Existing Transactions shall constitute Transactions under and be governed by this Agreement.  To the extent of any conflict between the terms and provisions of the Existing Transactions and the terms and provisions of this Agreement, the terms and provisions of this Agreement shall control.</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t xml:space="preserve">“Fallback Reference Dealers”;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szCs w:val="22"/>
              </w:rPr>
            </w:pPr>
            <w:r>
              <w:rPr>
                <w:b/>
                <w:bCs/>
                <w:sz w:val="22"/>
                <w:szCs w:val="22"/>
              </w:rPr>
              <w:t>ENRON NORTH AMERICA CORP.</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b/>
                <w:bCs/>
                <w:sz w:val="22"/>
                <w:szCs w:val="22"/>
              </w:rPr>
              <w:t>FERRELLGAS, L.P.</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t>By:</w:t>
              <w:tab/>
              <w:t>FerrellGas, Inc., its General Partner</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ab/>
              <w:t>By:</w:t>
            </w:r>
            <w:r>
              <w:rPr>
                <w:sz w:val="22"/>
                <w:szCs w:val="22"/>
                <w:u w:val="single"/>
              </w:rPr>
              <w:tab/>
              <w:tab/>
              <w:tab/>
              <w:tab/>
              <w:tab/>
            </w:r>
          </w:p>
          <w:p>
            <w:pPr>
              <w:pStyle w:val="Normal"/>
              <w:keepNext w:val="true"/>
              <w:spacing w:lineRule="exact" w:line="240"/>
              <w:jc w:val="both"/>
              <w:rPr>
                <w:sz w:val="22"/>
                <w:szCs w:val="22"/>
              </w:rPr>
            </w:pPr>
            <w:r>
              <w:rPr>
                <w:sz w:val="22"/>
                <w:szCs w:val="22"/>
              </w:rPr>
              <w:tab/>
              <w:t>Name:</w:t>
            </w:r>
            <w:r>
              <w:rPr>
                <w:sz w:val="22"/>
                <w:szCs w:val="22"/>
                <w:u w:val="single"/>
              </w:rPr>
              <w:tab/>
              <w:tab/>
              <w:tab/>
              <w:tab/>
              <w:tab/>
            </w:r>
          </w:p>
          <w:p>
            <w:pPr>
              <w:pStyle w:val="Normal"/>
              <w:keepNext w:val="true"/>
              <w:spacing w:lineRule="exact" w:line="240"/>
              <w:jc w:val="both"/>
              <w:rPr/>
            </w:pPr>
            <w:r>
              <w:rPr>
                <w:sz w:val="22"/>
                <w:szCs w:val="22"/>
              </w:rPr>
              <w:tab/>
              <w:t>Title:</w:t>
            </w:r>
            <w:r>
              <w:rPr>
                <w:sz w:val="22"/>
                <w:szCs w:val="22"/>
                <w:u w:val="single"/>
              </w:rPr>
              <w:tab/>
              <w:tab/>
              <w:tab/>
              <w:tab/>
              <w:tab/>
            </w:r>
          </w:p>
          <w:p>
            <w:pPr>
              <w:pStyle w:val="Normal"/>
              <w:keepNext w:val="true"/>
              <w:spacing w:lineRule="exact" w:line="240"/>
              <w:jc w:val="both"/>
              <w:rPr>
                <w:sz w:val="22"/>
                <w:szCs w:val="22"/>
              </w:rPr>
            </w:pPr>
            <w:r>
              <w:rPr>
                <w:sz w:val="22"/>
                <w:szCs w:val="22"/>
              </w:rPr>
              <w:tab/>
              <w:t>Date:</w:t>
            </w:r>
            <w:r>
              <w:rPr>
                <w:sz w:val="22"/>
                <w:szCs w:val="22"/>
                <w:u w:val="single"/>
              </w:rPr>
              <w:tab/>
              <w:tab/>
              <w:tab/>
              <w:tab/>
              <w:tab/>
            </w:r>
          </w:p>
        </w:tc>
      </w:tr>
      <w:tr>
        <w:trPr/>
        <w:tc>
          <w:tcPr>
            <w:tcW w:w="4788" w:type="dxa"/>
            <w:tcBorders/>
          </w:tcPr>
          <w:p>
            <w:pPr>
              <w:pStyle w:val="Normal"/>
              <w:keepNext w:val="true"/>
              <w:snapToGrid w:val="false"/>
              <w:spacing w:lineRule="exact" w:line="240"/>
              <w:jc w:val="both"/>
              <w:rPr>
                <w:b/>
                <w:bCs/>
                <w:sz w:val="22"/>
                <w:szCs w:val="22"/>
              </w:rPr>
            </w:pPr>
            <w:r>
              <w:rPr>
                <w:b/>
                <w:bCs/>
                <w:sz w:val="22"/>
                <w:szCs w:val="22"/>
              </w:rPr>
            </w:r>
          </w:p>
        </w:tc>
        <w:tc>
          <w:tcPr>
            <w:tcW w:w="4788" w:type="dxa"/>
            <w:tcBorders/>
          </w:tcPr>
          <w:p>
            <w:pPr>
              <w:pStyle w:val="Normal"/>
              <w:keepNext w:val="true"/>
              <w:snapToGrid w:val="false"/>
              <w:spacing w:lineRule="exact" w:line="240"/>
              <w:jc w:val="both"/>
              <w:rPr>
                <w:b/>
                <w:bCs/>
                <w:sz w:val="22"/>
                <w:szCs w:val="22"/>
              </w:rPr>
            </w:pPr>
            <w:r>
              <w:rPr>
                <w:b/>
                <w:bCs/>
                <w:sz w:val="22"/>
                <w:szCs w:val="22"/>
              </w:rPr>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200_</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FERRELLGAS, L.P., a limited partnership organized under the law of the State of Delaware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keepNext w:val="true"/>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keepNext w:val="true"/>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Justified"/>
              <w:keepNext w:val="true"/>
              <w:keepLines/>
              <w:widowControl/>
              <w:spacing w:before="0" w:after="0"/>
              <w:rPr>
                <w:rFonts w:ascii="Times New Roman" w:hAnsi="Times New Roman" w:cs="Times New Roman"/>
              </w:rPr>
            </w:pPr>
            <w:r>
              <w:rPr>
                <w:rFonts w:cs="Times New Roman" w:ascii="Times New Roman" w:hAnsi="Times New Roman"/>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keepNext w:val="true"/>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U.S. $10,000,000 and with respect to Party B, U.S. $2,500,000; provided, however, that the Threshold for a party shall be zero upon the occurrence and during the continuance of a Material Adverse Change or an Event of Default or Potential Event of Default with respect to such party.</w:t>
      </w:r>
    </w:p>
    <w:p>
      <w:pPr>
        <w:pStyle w:val="Normal"/>
        <w:ind w:start="720" w:end="0"/>
        <w:jc w:val="both"/>
        <w:rPr>
          <w:color w:val="000000"/>
          <w:sz w:val="22"/>
          <w:szCs w:val="22"/>
        </w:rPr>
      </w:pPr>
      <w:r>
        <w:rPr>
          <w:color w:val="000000"/>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$250,000 </w:t>
      </w:r>
      <w:r>
        <w:rPr>
          <w:sz w:val="22"/>
          <w:szCs w:val="22"/>
        </w:rPr>
        <w:t xml:space="preserve">and the Return Amount will be rounded down to the nearest integral multiple of U.S. </w:t>
      </w:r>
      <w:r>
        <w:rPr>
          <w:color w:val="000000"/>
          <w:sz w:val="22"/>
          <w:szCs w:val="22"/>
        </w:rPr>
        <w:t>$250,000.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3"/>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a Material Adverse Change has not occurred with respect to Party A.</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Party B and its Custodian</w:t>
      </w:r>
      <w:r>
        <w:rPr>
          <w:color w:val="FF0000"/>
          <w:sz w:val="22"/>
          <w:szCs w:val="22"/>
        </w:rPr>
        <w:t xml:space="preserve">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a Material Adverse Change has not occurred with respect to Party B.</w:t>
      </w:r>
    </w:p>
    <w:p>
      <w:pPr>
        <w:pStyle w:val="Normal"/>
        <w:ind w:start="1080" w:end="0"/>
        <w:jc w:val="both"/>
        <w:rPr>
          <w:sz w:val="22"/>
          <w:szCs w:val="22"/>
        </w:rPr>
      </w:pPr>
      <w:r>
        <w:rPr>
          <w:sz w:val="22"/>
          <w:szCs w:val="22"/>
        </w:rPr>
      </w:r>
    </w:p>
    <w:p>
      <w:pPr>
        <w:pStyle w:val="Normal"/>
        <w:ind w:start="1080" w:end="0"/>
        <w:jc w:val="both"/>
        <w:rPr>
          <w:color w:val="FF0000"/>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keepNext w:val="true"/>
        <w:ind w:start="720" w:end="0"/>
        <w:jc w:val="both"/>
        <w:rPr>
          <w:sz w:val="22"/>
          <w:szCs w:val="22"/>
        </w:rPr>
      </w:pPr>
      <w:r>
        <w:rPr>
          <w:sz w:val="22"/>
          <w:szCs w:val="22"/>
        </w:rPr>
        <w:t xml:space="preserve">(ii)  </w:t>
      </w:r>
      <w:r>
        <w:rPr>
          <w:b/>
          <w:bCs/>
          <w:sz w:val="22"/>
          <w:szCs w:val="22"/>
        </w:rPr>
        <w:t>Use of Posted Collateral.</w:t>
      </w:r>
    </w:p>
    <w:p>
      <w:pPr>
        <w:pStyle w:val="Normal"/>
        <w:keepNext w:val="true"/>
        <w:ind w:start="720" w:end="0"/>
        <w:jc w:val="both"/>
        <w:rPr>
          <w:sz w:val="22"/>
          <w:szCs w:val="22"/>
        </w:rPr>
      </w:pPr>
      <w:r>
        <w:rPr>
          <w:sz w:val="22"/>
          <w:szCs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Justified"/>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firstLine="720" w:end="0"/>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(j)</w:t>
        <w:tab/>
      </w:r>
      <w:r>
        <w:rPr>
          <w:b/>
          <w:bCs/>
          <w:sz w:val="22"/>
          <w:szCs w:val="22"/>
        </w:rPr>
        <w:t>Other Eligible Support and Other Posted Support.</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color w:val="993300"/>
          <w:sz w:val="22"/>
          <w:szCs w:val="22"/>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ind w:hanging="720" w:start="720" w:end="0"/>
        <w:jc w:val="both"/>
        <w:rPr>
          <w:color w:val="993300"/>
          <w:sz w:val="22"/>
          <w:szCs w:val="22"/>
        </w:rPr>
      </w:pPr>
      <w:r>
        <w:rPr>
          <w:color w:val="993300"/>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spacing w:lineRule="exact" w:line="240" w:before="240" w:after="0"/>
        <w:ind w:start="720" w:end="0"/>
        <w:jc w:val="both"/>
        <w:rPr>
          <w:i/>
          <w:i/>
          <w:iCs/>
          <w:sz w:val="22"/>
          <w:szCs w:val="22"/>
        </w:rPr>
      </w:pPr>
      <w:r>
        <w:rPr>
          <w:b/>
          <w:bCs/>
          <w:sz w:val="22"/>
          <w:szCs w:val="22"/>
        </w:rPr>
        <w:t>“</w:t>
      </w:r>
      <w:r>
        <w:rPr>
          <w:b/>
          <w:bCs/>
          <w:sz w:val="22"/>
          <w:szCs w:val="22"/>
        </w:rPr>
        <w:t>Depreciation, Depletion and Amortization Expense”</w:t>
      </w:r>
      <w:r>
        <w:rPr>
          <w:sz w:val="22"/>
          <w:szCs w:val="22"/>
        </w:rPr>
        <w:t xml:space="preserve"> means, with respect to Party B for any period, the total amount of consolidated depreciation, depletion and amortization expense (exclusive of the amortization of the principal amount of any indebtedness) and other similar non-cash operating charges for such person for such period.</w:t>
      </w:r>
    </w:p>
    <w:p>
      <w:pPr>
        <w:pStyle w:val="BodyText"/>
        <w:ind w:start="720" w:end="0"/>
        <w:rPr>
          <w:b/>
          <w:bCs/>
          <w:i/>
          <w:i/>
          <w:iCs/>
          <w:sz w:val="22"/>
          <w:szCs w:val="22"/>
        </w:rPr>
      </w:pPr>
      <w:r>
        <w:rPr>
          <w:b/>
          <w:bCs/>
          <w:i/>
          <w:iCs/>
          <w:sz w:val="22"/>
          <w:szCs w:val="22"/>
        </w:rPr>
      </w:r>
    </w:p>
    <w:p>
      <w:pPr>
        <w:pStyle w:val="BodyText"/>
        <w:ind w:start="720" w:end="0"/>
        <w:jc w:val="both"/>
        <w:rPr/>
      </w:pPr>
      <w:r>
        <w:rPr>
          <w:b/>
          <w:bCs/>
        </w:rPr>
        <w:t>“</w:t>
      </w:r>
      <w:r>
        <w:rPr>
          <w:b/>
          <w:bCs/>
        </w:rPr>
        <w:t>EBITDA”</w:t>
      </w:r>
      <w:r>
        <w:rPr/>
        <w:t xml:space="preserve"> means, with respect to Party B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u w:val="single"/>
        </w:rPr>
        <w:t>minus</w:t>
      </w:r>
      <w:r>
        <w:rPr/>
        <w:t>, without duplication, all consolidated extraordinary gains for such person during such period.</w:t>
      </w:r>
    </w:p>
    <w:p>
      <w:pPr>
        <w:pStyle w:val="Normal"/>
        <w:spacing w:lineRule="exact" w:line="240" w:before="240" w:after="0"/>
        <w:ind w:start="720" w:end="0"/>
        <w:jc w:val="both"/>
        <w:rPr/>
      </w:pPr>
      <w:r>
        <w:rPr>
          <w:b/>
          <w:bCs/>
          <w:sz w:val="22"/>
          <w:szCs w:val="22"/>
        </w:rPr>
        <w:t>“</w:t>
      </w:r>
      <w:r>
        <w:rPr>
          <w:b/>
          <w:bCs/>
          <w:sz w:val="22"/>
          <w:szCs w:val="22"/>
        </w:rPr>
        <w:t>EBITDA Coverage Ratio”</w:t>
      </w:r>
      <w:r>
        <w:rPr>
          <w:sz w:val="22"/>
          <w:szCs w:val="22"/>
        </w:rPr>
        <w:t xml:space="preserve"> means, with respect to any period, the ratio of (i) EBITDA for such period to (ii) the aggregate amount of Interest Expense for such period.</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Funded Debt”</w:t>
      </w:r>
      <w:r>
        <w:rPr>
          <w:sz w:val="22"/>
          <w:szCs w:val="22"/>
        </w:rPr>
        <w:t xml:space="preserve"> means consolidated indebtedness of Party B which by its terms matures more than one year from the date as of which any calculation of Funded Debt is made.</w:t>
      </w:r>
    </w:p>
    <w:p>
      <w:pPr>
        <w:pStyle w:val="Normal"/>
        <w:spacing w:lineRule="atLeast" w:line="240"/>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GAAP”</w:t>
      </w:r>
      <w:r>
        <w:rPr>
          <w:sz w:val="22"/>
          <w:szCs w:val="22"/>
        </w:rPr>
        <w:t xml:space="preserve"> means generally accepted accounting principles that are generally accepted in the country in which the applicable party is organized and on a basis consistent with prior periods.</w:t>
      </w:r>
    </w:p>
    <w:p>
      <w:pPr>
        <w:pStyle w:val="Normal"/>
        <w:spacing w:lineRule="exact" w:line="240" w:before="240" w:after="0"/>
        <w:ind w:start="720" w:end="0"/>
        <w:jc w:val="both"/>
        <w:rPr>
          <w:color w:val="FF0000"/>
          <w:sz w:val="22"/>
          <w:szCs w:val="22"/>
        </w:rPr>
      </w:pPr>
      <w:r>
        <w:rPr>
          <w:b/>
          <w:bCs/>
          <w:sz w:val="22"/>
          <w:szCs w:val="22"/>
        </w:rPr>
        <w:t>“</w:t>
      </w:r>
      <w:r>
        <w:rPr>
          <w:b/>
          <w:bCs/>
          <w:sz w:val="22"/>
          <w:szCs w:val="22"/>
        </w:rPr>
        <w:t>Interest Expense”</w:t>
      </w:r>
      <w:r>
        <w:rPr>
          <w:sz w:val="22"/>
          <w:szCs w:val="22"/>
        </w:rPr>
        <w:t xml:space="preserve"> means, for any period, without duplication, the total consolidated interest expense of Party B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Party B under any guarantee of indebtedness or other obligations of any other person.</w:t>
      </w:r>
    </w:p>
    <w:p>
      <w:pPr>
        <w:pStyle w:val="Normal"/>
        <w:ind w:start="720" w:end="0"/>
        <w:jc w:val="both"/>
        <w:rPr>
          <w:color w:val="FF0000"/>
          <w:sz w:val="22"/>
          <w:szCs w:val="22"/>
        </w:rPr>
      </w:pPr>
      <w:r>
        <w:rPr>
          <w:color w:val="FF0000"/>
          <w:sz w:val="22"/>
          <w:szCs w:val="22"/>
        </w:rPr>
      </w:r>
    </w:p>
    <w:p>
      <w:pPr>
        <w:pStyle w:val="Normal"/>
        <w:ind w:start="720" w:end="0"/>
        <w:jc w:val="both"/>
        <w:rPr/>
      </w:pPr>
      <w:r>
        <w:rPr>
          <w:b/>
          <w:bCs/>
          <w:sz w:val="22"/>
          <w:szCs w:val="22"/>
        </w:rPr>
        <w:t>“</w:t>
      </w:r>
      <w:r>
        <w:rPr>
          <w:b/>
          <w:bCs/>
          <w:sz w:val="22"/>
          <w:szCs w:val="22"/>
        </w:rPr>
        <w:t>Issuer”</w:t>
      </w:r>
      <w:r>
        <w:rPr>
          <w:sz w:val="22"/>
          <w:szCs w:val="22"/>
        </w:rPr>
        <w:t xml:space="preserve"> means the bank issuing a Letter of Credit at the request of the Pledgor that meets the requirements set forth in the definition of Letter of Credit herein.</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Material Adverse Change”</w:t>
      </w:r>
      <w:r>
        <w:rPr>
          <w:sz w:val="22"/>
          <w:szCs w:val="22"/>
        </w:rPr>
        <w:t xml:space="preserve"> means, (a) with respect to Party A, its Credit Support Provider’s Credit Rating is below “BBB-” by S&amp;P; or (b) with respect to Party B, it shall have any of the following occur at any time:  (i) FerrellGas Partners, L.P.’s Credit Rating is below “B+” by S&amp;P, (ii) the ratio of its Funded Debt to Net Worth is more than 5 to 1, or (iii) its Net Worth falls below U.S. $100,000,000, or (iv) its EBITDA Coverage Ratio shall be less than 3 to 1.</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Net Income”</w:t>
      </w:r>
      <w:r>
        <w:rPr>
          <w:sz w:val="22"/>
          <w:szCs w:val="22"/>
        </w:rPr>
        <w:t xml:space="preserve"> means consolidated gross revenues of Party B and other proper income credits, less all proper income charges, including taxes on income, all determined in accordance with GAAP.</w:t>
      </w:r>
    </w:p>
    <w:p>
      <w:pPr>
        <w:pStyle w:val="Justified"/>
        <w:spacing w:lineRule="atLeast" w:line="240" w:before="0" w:after="0"/>
        <w:ind w:start="720" w:end="0"/>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start="720" w:end="144"/>
        <w:jc w:val="both"/>
        <w:rPr/>
      </w:pPr>
      <w:r>
        <w:rPr>
          <w:b/>
          <w:bCs/>
          <w:sz w:val="22"/>
          <w:szCs w:val="22"/>
        </w:rPr>
        <w:t>“</w:t>
      </w:r>
      <w:r>
        <w:rPr>
          <w:b/>
          <w:bCs/>
          <w:sz w:val="22"/>
          <w:szCs w:val="22"/>
        </w:rPr>
        <w:t>Net Worth”</w:t>
      </w:r>
      <w:r>
        <w:rPr>
          <w:sz w:val="22"/>
          <w:szCs w:val="22"/>
        </w:rPr>
        <w:t xml:space="preserve"> means consolidated total assets of Party B (including 50% of intangible assets), minus the consolidated total liabilities of Party B, each as would be reflected on a consolidated balance sheet of Party B prepared in accordance with GAAP.</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ind w:hanging="720" w:start="720" w:end="0"/>
        <w:jc w:val="both"/>
        <w:rPr>
          <w:sz w:val="22"/>
          <w:szCs w:val="22"/>
        </w:rPr>
      </w:pPr>
      <w:r>
        <w:rPr>
          <w:sz w:val="22"/>
          <w:szCs w:val="22"/>
        </w:rPr>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(f)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8"/>
          <w:headerReference w:type="first" r:id="rId9"/>
          <w:footerReference w:type="default" r:id="rId10"/>
          <w:footerReference w:type="first" r:id="rId11"/>
          <w:type w:val="nextPage"/>
          <w:pgSz w:w="12240" w:h="15840"/>
          <w:pgMar w:left="1440" w:right="1440" w:gutter="0" w:header="720" w:top="1080" w:footer="720" w:bottom="776"/>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r>
      <w:r>
        <w:rPr>
          <w:sz w:val="22"/>
          <w:szCs w:val="22"/>
        </w:rPr>
        <w:t>, 200__</w:t>
      </w:r>
      <w:r>
        <w:rPr>
          <w:sz w:val="22"/>
          <w:szCs w:val="22"/>
          <w:u w:val="single"/>
        </w:rPr>
        <w:t xml:space="preserve"> </w:t>
      </w:r>
      <w:r>
        <w:rPr>
          <w:sz w:val="22"/>
          <w:szCs w:val="22"/>
        </w:rPr>
        <w:t xml:space="preserve">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WHEREAS, FERRELLGAS, L.P., a Delaware limited partnership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w:t>
      </w:r>
      <w:r>
        <w:rPr>
          <w:color w:val="FF0000"/>
          <w:sz w:val="22"/>
          <w:szCs w:val="22"/>
        </w:rPr>
        <w:t xml:space="preserve"> </w:t>
      </w:r>
      <w:r>
        <w:rPr>
          <w:sz w:val="22"/>
          <w:szCs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as may be defined in any Contract,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FerrellGas, L.P.</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500 Dallas, Suite 2700</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Houston, Texas  77002</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 xml:space="preserve">Attn.:  </w:t>
            </w:r>
            <w:r>
              <w:rPr>
                <w:color w:val="000000"/>
                <w:sz w:val="22"/>
                <w:szCs w:val="22"/>
                <w:u w:val="single"/>
              </w:rPr>
              <w:tab/>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200_, but it is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rPr>
          <w:sz w:val="22"/>
          <w:szCs w:val="22"/>
        </w:rPr>
      </w:pPr>
      <w:r>
        <w:rPr>
          <w:sz w:val="22"/>
          <w:szCs w:val="22"/>
        </w:rPr>
      </w:r>
    </w:p>
    <w:sectPr>
      <w:headerReference w:type="default" r:id="rId12"/>
      <w:headerReference w:type="first" r:id="rId13"/>
      <w:footerReference w:type="default" r:id="rId14"/>
      <w:footerReference w:type="first" r:id="rId15"/>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/mnt/main-storage/datasets/enron-docs/doc/014ctr_ferrellgas.lp_.doc</w:t>
    </w:r>
    <w:r>
      <w:rPr>
        <w:rStyle w:val="PageNumber"/>
        <w:sz w:val="16"/>
        <w:szCs w:val="16"/>
      </w:rPr>
      <w:fldChar w:fldCharType="end"/>
    </w:r>
    <w:r>
      <mc:AlternateContent>
        <mc:Choice Requires="wps">
          <w:drawing>
            <wp:anchor behindDoc="0" distT="0" distB="0" distL="0" distR="0" simplePos="0" locked="0" layoutInCell="0" allowOverlap="1" relativeHeight="12">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11</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11</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/mnt/main-storage/datasets/enron-docs/doc/014ctr_ferrellgas.lp_.doc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8</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/mnt/main-storage/datasets/enron-docs/doc/014ctr_ferrellgas.lp_.doc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/mnt/main-storage/datasets/enron-docs/doc/014ctr_ferrellgas.lp_.doc</w:t>
    </w:r>
    <w:r>
      <w:rPr>
        <w:sz w:val="16"/>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pPr>
    <w:r>
      <w:rPr/>
      <w:t>Exhibit A</w:t>
    </w:r>
  </w:p>
  <w:p>
    <w:pPr>
      <w:pStyle w:val="Footer"/>
      <w:widowControl/>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2001-06-25T11:33:00Z</dcterms:created>
  <dc:creator>mheard</dc:creator>
  <dc:description/>
  <dc:language>en-CA</dc:language>
  <cp:lastModifiedBy>mheard</cp:lastModifiedBy>
  <cp:lastPrinted>2001-07-23T14:10:00Z</cp:lastPrinted>
  <dcterms:modified xsi:type="dcterms:W3CDTF">2001-07-23T16:40:00Z</dcterms:modified>
  <cp:revision>10</cp:revision>
  <dc:subject/>
  <dc:title>ISDA Multicurrency Agreement</dc:title>
</cp:coreProperties>
</file>