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59 </w:instrText>
      </w:r>
      <w:r>
        <w:rPr/>
      </w:r>
      <w:r>
        <w:rPr/>
        <w:fldChar w:fldCharType="separate"/>
      </w:r>
      <w:r>
        <w:rPr/>
      </w:r>
      <w:r>
        <w:rPr/>
      </w:r>
      <w:r>
        <w:rPr/>
        <w:fldChar w:fldCharType="end"/>
      </w:r>
      <w:r>
        <w:rPr/>
        <w:t>M E M O R A N D U M</w:t>
      </w:r>
    </w:p>
    <w:p>
      <w:pPr>
        <w:pStyle w:val="Normal"/>
        <w:rPr/>
      </w:pPr>
      <w:r>
        <w:rPr/>
      </w:r>
    </w:p>
    <w:p>
      <w:pPr>
        <w:pStyle w:val="Normal"/>
        <w:rPr/>
      </w:pPr>
      <w:r>
        <w:rPr/>
      </w:r>
    </w:p>
    <w:p>
      <w:pPr>
        <w:pStyle w:val="Normal"/>
        <w:rPr/>
      </w:pPr>
      <w:r>
        <w:rPr/>
      </w:r>
    </w:p>
    <w:p>
      <w:pPr>
        <w:pStyle w:val="Normal"/>
        <w:rPr/>
      </w:pPr>
      <w:r>
        <w:rPr/>
        <w:t>TO:</w:t>
        <w:tab/>
        <w:tab/>
        <w:t>Becky Cantrell</w:t>
      </w:r>
    </w:p>
    <w:p>
      <w:pPr>
        <w:pStyle w:val="Normal"/>
        <w:rPr/>
      </w:pPr>
      <w:r>
        <w:rPr/>
        <w:tab/>
        <w:tab/>
        <w:t>Jeff Dasovich</w:t>
      </w:r>
    </w:p>
    <w:p>
      <w:pPr>
        <w:pStyle w:val="Normal"/>
        <w:rPr/>
      </w:pPr>
      <w:r>
        <w:rPr/>
        <w:tab/>
        <w:tab/>
        <w:t>Steve Kean</w:t>
      </w:r>
    </w:p>
    <w:p>
      <w:pPr>
        <w:pStyle w:val="Normal"/>
        <w:rPr/>
      </w:pPr>
      <w:r>
        <w:rPr/>
        <w:tab/>
        <w:tab/>
        <w:t>Leslie Lawner</w:t>
      </w:r>
    </w:p>
    <w:p>
      <w:pPr>
        <w:pStyle w:val="Normal"/>
        <w:rPr/>
      </w:pPr>
      <w:r>
        <w:rPr/>
        <w:tab/>
        <w:tab/>
        <w:t>Jim Steffes</w:t>
      </w:r>
    </w:p>
    <w:p>
      <w:pPr>
        <w:pStyle w:val="Normal"/>
        <w:rPr/>
      </w:pPr>
      <w:r>
        <w:rPr/>
        <w:tab/>
        <w:tab/>
        <w:t>Jennifer Thome</w:t>
      </w:r>
    </w:p>
    <w:p>
      <w:pPr>
        <w:pStyle w:val="Normal"/>
        <w:rPr/>
      </w:pPr>
      <w:r>
        <w:rPr/>
        <w:tab/>
        <w:tab/>
        <w:t>Lisa Yoho</w:t>
      </w:r>
    </w:p>
    <w:p>
      <w:pPr>
        <w:pStyle w:val="Normal"/>
        <w:rPr/>
      </w:pPr>
      <w:r>
        <w:rPr/>
        <w:tab/>
        <w:tab/>
        <w:t>Enron North America Corp.</w:t>
      </w:r>
    </w:p>
    <w:p>
      <w:pPr>
        <w:pStyle w:val="Normal"/>
        <w:rPr/>
      </w:pPr>
      <w:r>
        <w:rPr/>
      </w:r>
    </w:p>
    <w:p>
      <w:pPr>
        <w:pStyle w:val="Normal"/>
        <w:rPr/>
      </w:pPr>
      <w:r>
        <w:rPr/>
        <w:t>FROM:</w:t>
        <w:tab/>
        <w:t>Randy Rich</w:t>
      </w:r>
    </w:p>
    <w:p>
      <w:pPr>
        <w:pStyle w:val="Normal"/>
        <w:rPr/>
      </w:pPr>
      <w:r>
        <w:rPr/>
        <w:tab/>
        <w:tab/>
        <w:t>Kim Curry</w:t>
      </w:r>
    </w:p>
    <w:p>
      <w:pPr>
        <w:pStyle w:val="Normal"/>
        <w:rPr/>
      </w:pPr>
      <w:r>
        <w:rPr/>
        <w:tab/>
        <w:tab/>
        <w:t>Bracewell &amp; Patterson, L.L.P.</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RE:</w:t>
        <w:tab/>
        <w:tab/>
      </w:r>
      <w:r>
        <w:rPr>
          <w:i/>
        </w:rPr>
        <w:t>CPUC v. El Paso</w:t>
      </w:r>
      <w:r>
        <w:rPr/>
        <w:t>, Rebuttal Cases</w:t>
      </w:r>
    </w:p>
    <w:p>
      <w:pPr>
        <w:pStyle w:val="Normal"/>
        <w:rPr/>
      </w:pPr>
      <w:r>
        <w:rPr/>
      </w:r>
    </w:p>
    <w:p>
      <w:pPr>
        <w:pStyle w:val="Normal"/>
        <w:rPr/>
      </w:pPr>
      <w:r>
        <w:rPr/>
      </w:r>
    </w:p>
    <w:p>
      <w:pPr>
        <w:pStyle w:val="BodyTextIndent"/>
        <w:rPr/>
      </w:pPr>
      <w:bookmarkStart w:id="0" w:name="Mark"/>
      <w:bookmarkEnd w:id="0"/>
      <w:r>
        <w:rPr/>
        <w:t>On Friday, June 8, the cross-examination of Professor Kalt continued.  Counsel for SCE demonstrated that in December, when prices were at their highest (reaching $60/Dth), EPME flowed approximately 80 percent of its capacity, while during the June to November time period, EPME only flowed 53% of its capacity.  Other shippers on the EPNG pipeline flowed over 80 percent during that same time period.  SCE also attempted to point out that if EPME would have transported an additional 50 to 100 MDth per day in June to late August, and late September to mid-November, natural gas prices in California would have not risen.</w:t>
      </w:r>
    </w:p>
    <w:p>
      <w:pPr>
        <w:pStyle w:val="Normal"/>
        <w:rPr/>
      </w:pPr>
      <w:r>
        <w:rPr/>
      </w:r>
    </w:p>
    <w:p>
      <w:pPr>
        <w:pStyle w:val="Normal"/>
        <w:rPr/>
      </w:pPr>
      <w:r>
        <w:rPr/>
        <w:tab/>
        <w:t>On re-direct, Professor Kalt and counsel for EPME admitted that the data depicted in the revised Kalt-20 exhibit was inaccurate, and submitted another re-revised exhibit.  On the previous day, counsel for SCE had alleged that the revised exhibit (which was submitted after errors were found in the original exhibit) was based upon erroneous data.  Submission of the new re-revised exhibit did not alter Professor Kalt's conclusion that in the summer of 2000, forward pricing showed that prices would have been lower (and accordingly, profits from the sale of storage gas would have been lower, or even negative) in January 2001, thus, shippers, acting on these price signals, elected not to build up their storage inventories.</w:t>
      </w:r>
    </w:p>
    <w:p>
      <w:pPr>
        <w:pStyle w:val="Normal"/>
        <w:rPr/>
      </w:pPr>
      <w:r>
        <w:rPr/>
      </w:r>
    </w:p>
    <w:p>
      <w:pPr>
        <w:pStyle w:val="Normal"/>
        <w:rPr/>
      </w:pPr>
      <w:r>
        <w:rPr/>
        <w:tab/>
        <w:t>On re-cross, SCE and PG&amp;E argued that the dramatic decreases in basis differentials (which they demonstrated using the prices from the current day's Gas Daily) that have occurred since May 31 (the last day of the EPME contract) was probative evidence that EPME exercised market power during the relevant time period.</w:t>
      </w:r>
    </w:p>
    <w:p>
      <w:pPr>
        <w:pStyle w:val="Normal"/>
        <w:rPr/>
      </w:pPr>
      <w:r>
        <w:rPr/>
      </w:r>
    </w:p>
    <w:p>
      <w:pPr>
        <w:pStyle w:val="Normal"/>
        <w:rPr/>
      </w:pPr>
      <w:r>
        <w:rPr/>
        <w:tab/>
        <w:t>On Monday, June 11, Don Peterson, an engineer in the California Gas Transmission Group, a division of PG&amp;E Company that manages the "backbone" system of its California pipelines (</w:t>
      </w:r>
      <w:r>
        <w:rPr>
          <w:i/>
        </w:rPr>
        <w:t>e.g</w:t>
      </w:r>
      <w:r>
        <w:rPr/>
        <w:t>., the Baja line located in Southern California and the Redwood line located in Northern California), presented his direct testimony.</w:t>
      </w:r>
      <w:r>
        <w:rPr>
          <w:rStyle w:val="FootnoteReference"/>
          <w:vertAlign w:val="superscript"/>
        </w:rPr>
        <w:footnoteReference w:id="2"/>
      </w:r>
      <w:r>
        <w:rPr/>
        <w:t xml:space="preserve">  The main purpose of Mr. Peterson's testimony was to provide insight into the workings of the PG&amp;E system; however, Mr. Peterson also provided testimony as to whether EPME exercised market power.</w:t>
      </w:r>
    </w:p>
    <w:p>
      <w:pPr>
        <w:pStyle w:val="Normal"/>
        <w:rPr/>
      </w:pPr>
      <w:r>
        <w:rPr/>
      </w:r>
    </w:p>
    <w:p>
      <w:pPr>
        <w:pStyle w:val="Normal"/>
        <w:rPr/>
      </w:pPr>
      <w:r>
        <w:rPr/>
        <w:tab/>
        <w:t>In addressing EPME's claims that upstream constraints prevented them from flowing their maximum capacity within California, Mr. Peterson testified that the Baja line was not constrained during 2000, and in fact, it was only running at 63 percent of its capacity.  However, in the first five months of 2001, this utilization rate jumped to 90 percent.  Overall, during the time of the EPME contract, utilization was approximately 73 percent.  Mr. Peterson also discussed EPME's capacity release activity, and concluded that EPME had not made a "serious effort" to release capacity.  Mr. Peterson noted that most of EPME's release offers were made either very early, or very late in the month.  According to him, historically, release transactions should be completed prior to the NYMEX closing, therefore, a shipper would want offer capacity at the middle of the month, until around the 25</w:t>
      </w:r>
      <w:r>
        <w:rPr>
          <w:vertAlign w:val="superscript"/>
        </w:rPr>
        <w:t>th</w:t>
      </w:r>
      <w:r>
        <w:rPr/>
        <w:t xml:space="preserve"> of the month, to give shippers sufficient time to close the deal by the end of the month.  He therefore concluded that EPME's release offerings at the end of the month were not designed to elicit responses from shippers.</w:t>
      </w:r>
    </w:p>
    <w:p>
      <w:pPr>
        <w:pStyle w:val="Normal"/>
        <w:rPr/>
      </w:pPr>
      <w:r>
        <w:rPr/>
      </w:r>
    </w:p>
    <w:p>
      <w:pPr>
        <w:pStyle w:val="Normal"/>
        <w:rPr/>
      </w:pPr>
      <w:r>
        <w:rPr/>
        <w:tab/>
        <w:t>On cross-examination, in an attempt to explain the low utilization of the PG&amp;E system,  counsel for EPME noted that the many Operational Flow Orders (“OFOs”) issued during the time of the EPME contracts (including 14 OFOs in May alone), combined with the stiff penalties for flowing gas during an OFO, were strong incentives to "keep gas away from the PG&amp;E system."  As to Mr. Peterson's claim that EPME did not make a serious effort to release capacity, counsel for EPME demonstrated that of the over 500 capacity release offers during the time of the EPME contracts, only seven were not prearranged, that is, an overwhelming majority of the capacity releases took place prior to postings on the electronic bulletin board.</w:t>
      </w:r>
    </w:p>
    <w:p>
      <w:pPr>
        <w:pStyle w:val="Normal"/>
        <w:rPr/>
      </w:pPr>
      <w:r>
        <w:rPr/>
      </w:r>
    </w:p>
    <w:p>
      <w:pPr>
        <w:pStyle w:val="Normal"/>
        <w:rPr/>
      </w:pPr>
      <w:r>
        <w:rPr/>
        <w:tab/>
        <w:t xml:space="preserve">Yesterday, FERC issued an order on rehearing of the March 28 order setting this proceeding for hearing.  In the March 28 order, FERC found, based on the record before it at that time, that there were no violations of FERC’s Affiliate Standards.  On May 31, Judge Wagner’s sent a report to FERC requesting guidance expanding the scope of the hearing to include a more thorough investigation into whether or not affiliate abuse occurred.  The June 11 order will allow Judge Wagner to investigate these allegations of affiliate abuse because these allegations “raise factual issues that are best resolved in an evidentiary hearing.” Since the parties have not done discovery on this particular issue, whether or not resolution of these affiliate abuse issues can be incorporated into the present hearing will be a major topic of discussion at today’s hearing. </w:t>
      </w:r>
    </w:p>
    <w:p>
      <w:pPr>
        <w:pStyle w:val="Normal"/>
        <w:rPr/>
      </w:pPr>
      <w:r>
        <w:rPr/>
      </w:r>
    </w:p>
    <w:p>
      <w:pPr>
        <w:pStyle w:val="Normal"/>
        <w:jc w:val="center"/>
        <w:rPr/>
      </w:pPr>
      <w:r>
        <w:rPr/>
        <w:t>RSR</w:t>
      </w:r>
    </w:p>
    <w:p>
      <w:pPr>
        <w:pStyle w:val="Normal"/>
        <w:jc w:val="center"/>
        <w:rPr/>
      </w:pPr>
      <w:r>
        <w:rPr/>
        <w:t>KAC</w:t>
      </w:r>
    </w:p>
    <w:p>
      <w:pPr>
        <w:pStyle w:val="Normal"/>
        <w:jc w:val="center"/>
        <w:rPr/>
      </w:pPr>
      <w:r>
        <w:rPr/>
      </w:r>
    </w:p>
    <w:p>
      <w:pPr>
        <w:pStyle w:val="Normal"/>
        <w:rPr/>
      </w:pPr>
      <w:r>
        <w:rPr/>
        <w:t>/kac</w:t>
      </w:r>
    </w:p>
    <w:sectPr>
      <w:headerReference w:type="default" r:id="rId2"/>
      <w:headerReference w:type="first" r:id="rId3"/>
      <w:footnotePr>
        <w:numFmt w:val="decimal"/>
      </w:footnotePr>
      <w:type w:val="nextPage"/>
      <w:pgSz w:w="12240" w:h="15840"/>
      <w:pgMar w:left="1872" w:right="1728" w:gutter="0" w:header="720" w:top="965" w:footer="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rPr/>
      </w:pPr>
      <w:r>
        <w:rPr>
          <w:rStyle w:val="FootnoteCharacters"/>
        </w:rPr>
        <w:footnoteRef/>
      </w:r>
      <w:r>
        <w:rPr>
          <w:sz w:val="22"/>
        </w:rPr>
        <w:t>Mr. Peterson was not one of the original witnesses called by PG&amp;E, and was called to the stand for the first time during this rebuttal phase.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Memorandum </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txtAuthor" w:val="RSR"/>
    <w:docVar w:name="txtFrom" w:val="Randy Rich"/>
    <w:docVar w:name="txtInitials" w:val="/kac"/>
    <w:docVar w:name="txtRef" w:val="CPUC v. El Paso, Rebuttal Cases"/>
    <w:docVar w:name="txtTo" w:val="Becky Cantrel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2001-06-12T12:10:00Z</dcterms:created>
  <dc:creator>vdal3</dc:creator>
  <dc:description/>
  <dc:language>en-CA</dc:language>
  <cp:lastModifiedBy>Bracewell &amp; Patterson, L.L.P.</cp:lastModifiedBy>
  <cp:lastPrinted>2001-06-12T10:38:00Z</cp:lastPrinted>
  <dcterms:modified xsi:type="dcterms:W3CDTF">2001-06-12T12:10:00Z</dcterms:modified>
  <cp:revision>2</cp:revision>
  <dc:subject/>
  <dc:title>M E M O R A N D U M</dc:title>
</cp:coreProperties>
</file>