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PALADIN ENERGY CORP.</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BodyText2"/>
        <w:ind w:hanging="720" w:start="1440" w:end="0"/>
        <w:rPr>
          <w:rFonts w:ascii="Arial Narrow" w:hAnsi="Arial Narrow" w:cs="Arial Narrow"/>
          <w:sz w:val="18"/>
        </w:rPr>
      </w:pPr>
      <w:r>
        <w:rPr>
          <w:rFonts w:cs="Arial Narrow" w:ascii="Arial Narrow" w:hAnsi="Arial Narrow"/>
          <w:sz w:val="18"/>
        </w:rPr>
        <w:t>"(g)</w:t>
        <w:tab/>
        <w:tab/>
        <w:t>Counterparty fails to establish, maintain, renew, substitute or increase the Performance Assurance in accordance with the terms and provisions hereof and the failure continues for two (2) Business Days after notice from ENA."</w:t>
      </w:r>
    </w:p>
    <w:p>
      <w:pPr>
        <w:pStyle w:val="BodyText2"/>
        <w:ind w:hanging="1080" w:start="1080" w:end="0"/>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keepNext w:val="true"/>
        <w:spacing w:lineRule="exact" w:line="240" w:before="240" w:after="0"/>
        <w:ind w:start="360" w:end="0"/>
        <w:jc w:val="both"/>
        <w:rPr>
          <w:rFonts w:ascii="Arial Narrow" w:hAnsi="Arial Narrow" w:cs="Arial Narrow"/>
          <w:i/>
          <w:i/>
          <w:iCs/>
          <w:sz w:val="18"/>
          <w:szCs w:val="22"/>
        </w:rPr>
      </w:pPr>
      <w:r>
        <w:rPr>
          <w:rFonts w:cs="Arial Narrow" w:ascii="Arial Narrow" w:hAnsi="Arial Narrow"/>
          <w:sz w:val="18"/>
        </w:rPr>
        <w:t>"</w:t>
      </w:r>
      <w:r>
        <w:rPr>
          <w:rFonts w:cs="Arial Narrow" w:ascii="Arial Narrow" w:hAnsi="Arial Narrow"/>
          <w:i/>
          <w:iCs/>
          <w:sz w:val="18"/>
          <w:szCs w:val="22"/>
          <w:u w:val="single"/>
        </w:rPr>
        <w:t>Depreciation, Depletion and Amortization Expense</w:t>
      </w:r>
      <w:r>
        <w:rPr>
          <w:rFonts w:cs="Arial Narrow" w:ascii="Arial Narrow" w:hAnsi="Arial Narrow"/>
          <w:sz w:val="18"/>
        </w:rPr>
        <w:t>"</w:t>
      </w:r>
      <w:r>
        <w:rPr>
          <w:rFonts w:cs="Arial Narrow" w:ascii="Arial Narrow" w:hAnsi="Arial Narrow"/>
          <w:sz w:val="18"/>
          <w:szCs w:val="22"/>
        </w:rPr>
        <w:t xml:space="preserve"> means, with respect to </w:t>
      </w:r>
      <w:r>
        <w:rPr>
          <w:rFonts w:cs="Arial Narrow" w:ascii="Arial Narrow" w:hAnsi="Arial Narrow"/>
          <w:sz w:val="18"/>
        </w:rPr>
        <w:t xml:space="preserve">Counterparty </w:t>
      </w:r>
      <w:r>
        <w:rPr>
          <w:rFonts w:cs="Arial Narrow" w:ascii="Arial Narrow" w:hAnsi="Arial Narrow"/>
          <w:sz w:val="18"/>
          <w:szCs w:val="22"/>
        </w:rPr>
        <w:t>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rPr>
          <w:rFonts w:ascii="Arial Narrow" w:hAnsi="Arial Narrow" w:cs="Arial Narrow"/>
          <w:b/>
          <w:bCs/>
          <w:i/>
          <w:i/>
          <w:iCs/>
          <w:sz w:val="18"/>
          <w:szCs w:val="22"/>
        </w:rPr>
      </w:pPr>
      <w:r>
        <w:rPr>
          <w:rFonts w:cs="Arial Narrow"/>
          <w:b/>
          <w:bCs/>
          <w:i/>
          <w:iCs/>
          <w:sz w:val="18"/>
          <w:szCs w:val="22"/>
        </w:rPr>
      </w:r>
    </w:p>
    <w:p>
      <w:pPr>
        <w:pStyle w:val="BodyText"/>
        <w:ind w:start="360" w:end="0"/>
        <w:rPr/>
      </w:pPr>
      <w:r>
        <w:rPr/>
        <w:t>"</w:t>
      </w:r>
      <w:r>
        <w:rPr>
          <w:i/>
          <w:iCs/>
          <w:u w:val="single"/>
        </w:rPr>
        <w:t>EBITDA</w:t>
      </w:r>
      <w:r>
        <w:rPr/>
        <w:t xml:space="preserve">" means, with respect to Counterparty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atLeast" w:line="240"/>
        <w:rPr>
          <w:rFonts w:ascii="Arial Narrow" w:hAnsi="Arial Narrow" w:cs="Arial Narrow"/>
          <w:sz w:val="18"/>
        </w:rPr>
      </w:pPr>
      <w:r>
        <w:rPr>
          <w:rFonts w:cs="Arial Narrow" w:ascii="Arial Narrow" w:hAnsi="Arial Narrow"/>
          <w:sz w:val="18"/>
        </w:rPr>
      </w:r>
    </w:p>
    <w:p>
      <w:pPr>
        <w:pStyle w:val="Normal"/>
        <w:spacing w:lineRule="atLeast" w:line="240"/>
        <w:ind w:start="360" w:end="0"/>
        <w:rPr>
          <w:rFonts w:ascii="Arial Narrow" w:hAnsi="Arial Narrow" w:cs="Arial Narrow"/>
          <w:b/>
          <w:color w:val="FF0000"/>
          <w:sz w:val="18"/>
        </w:rPr>
      </w:pPr>
      <w:r>
        <w:rPr>
          <w:rFonts w:cs="Arial Narrow" w:ascii="Arial Narrow" w:hAnsi="Arial Narrow"/>
          <w:sz w:val="18"/>
        </w:rPr>
        <w:t>"</w:t>
      </w:r>
      <w:r>
        <w:rPr>
          <w:rFonts w:cs="Arial Narrow" w:ascii="Arial Narrow" w:hAnsi="Arial Narrow"/>
          <w:i/>
          <w:iCs/>
          <w:sz w:val="18"/>
          <w:szCs w:val="22"/>
          <w:u w:val="single"/>
        </w:rPr>
        <w:t>EBITDA Coverage Ratio</w:t>
      </w:r>
      <w:r>
        <w:rPr>
          <w:rFonts w:cs="Arial Narrow" w:ascii="Arial Narrow" w:hAnsi="Arial Narrow"/>
          <w:sz w:val="18"/>
        </w:rPr>
        <w:t>"</w:t>
      </w:r>
      <w:r>
        <w:rPr>
          <w:rFonts w:cs="Arial Narrow" w:ascii="Arial Narrow" w:hAnsi="Arial Narrow"/>
          <w:sz w:val="18"/>
          <w:szCs w:val="22"/>
        </w:rPr>
        <w:t xml:space="preserve"> means, with respect to any period, the ratio of (i) EBITDA for such period to (ii) the aggregate amount of Interest Expense for such period.</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spacing w:lineRule="exact" w:line="240" w:before="240" w:after="0"/>
        <w:ind w:start="360" w:end="0"/>
        <w:jc w:val="both"/>
        <w:rPr>
          <w:rFonts w:ascii="Arial Narrow" w:hAnsi="Arial Narrow" w:cs="Arial Narrow"/>
          <w:color w:val="FF0000"/>
          <w:sz w:val="18"/>
          <w:szCs w:val="22"/>
        </w:rPr>
      </w:pPr>
      <w:r>
        <w:rPr>
          <w:rFonts w:cs="Arial Narrow" w:ascii="Arial Narrow" w:hAnsi="Arial Narrow"/>
          <w:sz w:val="18"/>
        </w:rPr>
        <w:t>"</w:t>
      </w:r>
      <w:r>
        <w:rPr>
          <w:rFonts w:cs="Arial Narrow" w:ascii="Arial Narrow" w:hAnsi="Arial Narrow"/>
          <w:i/>
          <w:iCs/>
          <w:sz w:val="18"/>
          <w:szCs w:val="22"/>
          <w:u w:val="single"/>
        </w:rPr>
        <w:t>Interest Expense</w:t>
      </w:r>
      <w:r>
        <w:rPr>
          <w:rFonts w:cs="Arial Narrow" w:ascii="Arial Narrow" w:hAnsi="Arial Narrow"/>
          <w:sz w:val="18"/>
        </w:rPr>
        <w:t>"</w:t>
      </w:r>
      <w:r>
        <w:rPr>
          <w:rFonts w:cs="Arial Narrow" w:ascii="Arial Narrow" w:hAnsi="Arial Narrow"/>
          <w:sz w:val="18"/>
          <w:szCs w:val="22"/>
        </w:rPr>
        <w:t xml:space="preserve"> means, for any period, without duplication, the total consolidated interest expense of </w:t>
      </w:r>
      <w:r>
        <w:rPr>
          <w:rFonts w:cs="Arial Narrow" w:ascii="Arial Narrow" w:hAnsi="Arial Narrow"/>
          <w:sz w:val="18"/>
        </w:rPr>
        <w:t xml:space="preserve">Counterparty </w:t>
      </w:r>
      <w:r>
        <w:rPr>
          <w:rFonts w:cs="Arial Narrow" w:ascii="Arial Narrow" w:hAnsi="Arial Narrow"/>
          <w:sz w:val="18"/>
          <w:szCs w:val="22"/>
        </w:rPr>
        <w:t xml:space="preserve">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w:t>
      </w:r>
      <w:r>
        <w:rPr>
          <w:rFonts w:cs="Arial Narrow" w:ascii="Arial Narrow" w:hAnsi="Arial Narrow"/>
          <w:sz w:val="18"/>
        </w:rPr>
        <w:t>Counterparty</w:t>
      </w:r>
      <w:r>
        <w:rPr>
          <w:rFonts w:cs="Arial Narrow" w:ascii="Arial Narrow" w:hAnsi="Arial Narrow"/>
          <w:sz w:val="18"/>
          <w:szCs w:val="22"/>
        </w:rPr>
        <w:t xml:space="preserve"> under any guarantee of indebtedness or other obligations of any other person.</w:t>
      </w:r>
    </w:p>
    <w:p>
      <w:pPr>
        <w:pStyle w:val="Normal"/>
        <w:spacing w:lineRule="atLeast" w:line="240"/>
        <w:jc w:val="both"/>
        <w:rPr>
          <w:rFonts w:ascii="Arial Narrow" w:hAnsi="Arial Narrow" w:cs="Arial Narrow"/>
          <w:color w:val="FF0000"/>
          <w:sz w:val="18"/>
          <w:szCs w:val="22"/>
        </w:rPr>
      </w:pPr>
      <w:r>
        <w:rPr>
          <w:rFonts w:cs="Arial Narrow" w:ascii="Arial Narrow" w:hAnsi="Arial Narrow"/>
          <w:color w:val="FF0000"/>
          <w:sz w:val="18"/>
          <w:szCs w:val="22"/>
        </w:rPr>
      </w:r>
    </w:p>
    <w:p>
      <w:pPr>
        <w:pStyle w:val="Normal"/>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with respect to Counterparty, it shall have any of the following occur at any time:  (i) its Net Worth falls below U.S. $6,000,000, or (ii) </w:t>
      </w:r>
      <w:r>
        <w:rPr>
          <w:rFonts w:cs="Arial Narrow" w:ascii="Arial Narrow" w:hAnsi="Arial Narrow"/>
          <w:sz w:val="18"/>
          <w:szCs w:val="22"/>
        </w:rPr>
        <w:t>its EBITDA Coverage Ratio shall be less than 5</w:t>
      </w:r>
      <w:r>
        <w:rPr>
          <w:rFonts w:cs="Arial Narrow" w:ascii="Arial Narrow" w:hAnsi="Arial Narrow"/>
          <w:sz w:val="18"/>
        </w:rPr>
        <w:t xml:space="preserve"> to 1.</w:t>
      </w:r>
    </w:p>
    <w:p>
      <w:pPr>
        <w:pStyle w:val="Normal"/>
        <w:spacing w:lineRule="atLeast" w:line="240"/>
        <w:jc w:val="center"/>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Net Income</w:t>
      </w:r>
      <w:r>
        <w:rPr>
          <w:rFonts w:cs="Arial Narrow" w:ascii="Arial Narrow" w:hAnsi="Arial Narrow"/>
          <w:sz w:val="18"/>
        </w:rPr>
        <w:t>" means consolidated gross revenues of Counterparty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fiscal year a copy of its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first three fiscal quarters of each fiscal year, copies of its quarterly reports containing unaudited consolidated financial statements for such fiscal quarter prepared in accordance with GAAP, and (iii) such other publicly available financial information as ENA may reasonably request.”</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$250,000;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r>
      <w:r>
        <w:rPr>
          <w:rFonts w:cs="Arial Narrow" w:ascii="Arial Narrow" w:hAnsi="Arial Narrow"/>
          <w:i/>
          <w:iCs/>
          <w:sz w:val="18"/>
        </w:rPr>
        <w:t>"</w:t>
      </w:r>
      <w:r>
        <w:rPr>
          <w:rFonts w:cs="Arial Narrow" w:ascii="Arial Narrow" w:hAnsi="Arial Narrow"/>
          <w:i/>
          <w:iCs/>
          <w:sz w:val="18"/>
          <w:u w:val="single"/>
        </w:rPr>
        <w:t>Transfer</w:t>
      </w:r>
      <w:r>
        <w:rPr>
          <w:rFonts w:cs="Arial Narrow" w:ascii="Arial Narrow" w:hAnsi="Arial Narrow"/>
          <w:i/>
          <w:iCs/>
          <w:sz w:val="18"/>
        </w:rPr>
        <w:t>"</w:t>
      </w:r>
      <w:r>
        <w:rPr>
          <w:rFonts w:cs="Arial Narrow" w:ascii="Arial Narrow" w:hAnsi="Arial Narrow"/>
          <w:sz w:val="18"/>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$250,000,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/mnt/main-storage/datasets/enron-docs/doc/013conf_paladin_.doc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2</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2001-08-01T15:24:00Z</dcterms:created>
  <dc:creator>mheard</dc:creator>
  <dc:description/>
  <dc:language>en-CA</dc:language>
  <cp:lastModifiedBy>mheard</cp:lastModifiedBy>
  <cp:lastPrinted>2001-08-02T08:53:00Z</cp:lastPrinted>
  <dcterms:modified xsi:type="dcterms:W3CDTF">2001-08-02T11:23:00Z</dcterms:modified>
  <cp:revision>4</cp:revision>
  <dc:subject/>
  <dc:title>DRAFT OF 10/15/99</dc:title>
</cp:coreProperties>
</file>