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490"/>
        <w:gridCol w:w="990"/>
        <w:gridCol w:w="252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490" w:type="dxa"/>
            <w:tcBorders/>
          </w:tcPr>
          <w:p>
            <w:pPr>
              <w:pStyle w:val="To"/>
              <w:rPr/>
            </w:pPr>
            <w:r>
              <w:rPr/>
              <w:t>Bill Rapp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49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490" w:type="dxa"/>
            <w:tcBorders/>
          </w:tcPr>
          <w:p>
            <w:pPr>
              <w:pStyle w:val="From"/>
              <w:rPr/>
            </w:pPr>
            <w:r>
              <w:rPr/>
              <w:t>Jeff Hodge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52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49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Subject:</w:t>
            </w:r>
          </w:p>
        </w:tc>
        <w:tc>
          <w:tcPr>
            <w:tcW w:w="649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American Express Company ("</w:t>
            </w:r>
            <w:r>
              <w:rPr>
                <w:u w:val="single"/>
              </w:rPr>
              <w:t>American Express</w:t>
            </w:r>
            <w:r>
              <w:rPr/>
              <w:t>")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May 24,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648" w:end="0"/>
        <w:jc w:val="both"/>
        <w:rPr/>
      </w:pPr>
      <w:r>
        <w:rPr/>
        <w:t>Pursuant to your request, I have reviewed the proposed Commodity Management Agreement, the ("</w:t>
      </w:r>
      <w:r>
        <w:rPr>
          <w:u w:val="single"/>
        </w:rPr>
        <w:t>CMA</w:t>
      </w:r>
      <w:r>
        <w:rPr/>
        <w:t>"), and the Platform Agreement between Enron Energy Services Operations, Inc. ("</w:t>
      </w:r>
      <w:r>
        <w:rPr>
          <w:u w:val="single"/>
        </w:rPr>
        <w:t>EESO</w:t>
      </w:r>
      <w:r>
        <w:rPr/>
        <w:t>").  My thoughts are as follows:</w:t>
      </w:r>
    </w:p>
    <w:p>
      <w:pPr>
        <w:pStyle w:val="Body"/>
        <w:ind w:firstLine="648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1440" w:leader="none"/>
        </w:tabs>
        <w:ind w:hanging="360" w:start="1800" w:end="1440"/>
        <w:jc w:val="both"/>
        <w:rPr/>
      </w:pPr>
      <w:r>
        <w:rPr/>
        <w:t>All of the changes that have been made to the form agreement for initial use should be made to these agreements.</w:t>
      </w:r>
    </w:p>
    <w:p>
      <w:pPr>
        <w:pStyle w:val="Body"/>
        <w:tabs>
          <w:tab w:val="left" w:pos="1440" w:leader="none"/>
          <w:tab w:val="left" w:pos="1800" w:leader="none"/>
        </w:tabs>
        <w:ind w:start="1440" w:end="144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1440" w:leader="none"/>
          <w:tab w:val="left" w:pos="1800" w:leader="none"/>
        </w:tabs>
        <w:ind w:hanging="360" w:start="1800" w:end="1440"/>
        <w:jc w:val="both"/>
        <w:rPr/>
      </w:pPr>
      <w:r>
        <w:rPr/>
        <w:t>Section 2, Item 15 of the CMA, it remains unclear to me as to what happens if a new Strike Price and Strike Term is not agreed to.  I understand that it will not fit into the calculations, but I presume that EESO may still be providing the quantity formerly subject to the Strike Price.  The question then is does there always need to be a strike price?</w:t>
      </w:r>
    </w:p>
    <w:p>
      <w:pPr>
        <w:pStyle w:val="Body"/>
        <w:tabs>
          <w:tab w:val="left" w:pos="1440" w:leader="none"/>
        </w:tabs>
        <w:ind w:start="0" w:end="144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1440" w:leader="none"/>
          <w:tab w:val="left" w:pos="1800" w:leader="none"/>
        </w:tabs>
        <w:ind w:hanging="360" w:start="1800" w:end="1440"/>
        <w:jc w:val="both"/>
        <w:rPr/>
      </w:pPr>
      <w:r>
        <w:rPr/>
        <w:t>In Section 3, Item 5 of the CMA, it appears as though EESO is the calculating agent on the Default Payment.  However, Schedule G indicates that Termination Amounts are to be calculated by the Non-Defaulting Party.  That needs to be fixed.  Also, the CMA contemplates "one-way" payment.  A decision has to be made on "one-way" versus "two-way" payment.</w:t>
      </w:r>
    </w:p>
    <w:p>
      <w:pPr>
        <w:pStyle w:val="Body"/>
        <w:tabs>
          <w:tab w:val="left" w:pos="1440" w:leader="none"/>
        </w:tabs>
        <w:ind w:start="0" w:end="144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tabs>
          <w:tab w:val="left" w:pos="1440" w:leader="none"/>
          <w:tab w:val="left" w:pos="1800" w:leader="none"/>
        </w:tabs>
        <w:ind w:hanging="360" w:start="1800" w:end="1440"/>
        <w:jc w:val="both"/>
        <w:rPr/>
      </w:pPr>
      <w:r>
        <w:rPr/>
        <w:t>I cannot find a bankruptcy event of default in either document.</w:t>
      </w:r>
    </w:p>
    <w:p>
      <w:pPr>
        <w:pStyle w:val="Body"/>
        <w:tabs>
          <w:tab w:val="left" w:pos="1440" w:leader="none"/>
        </w:tabs>
        <w:ind w:start="1440" w:end="720"/>
        <w:jc w:val="both"/>
        <w:rPr/>
      </w:pPr>
      <w:r>
        <w:rPr/>
      </w:r>
    </w:p>
    <w:p>
      <w:pPr>
        <w:pStyle w:val="Body"/>
        <w:ind w:firstLine="648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JH/ke</w:t>
      </w:r>
    </w:p>
    <w:p>
      <w:pPr>
        <w:pStyle w:val="Body"/>
        <w:jc w:val="both"/>
        <w:rPr/>
      </w:pPr>
      <w:r>
        <w:rPr/>
      </w:r>
    </w:p>
    <w:p>
      <w:pPr>
        <w:pStyle w:val="Body"/>
        <w:tabs>
          <w:tab w:val="left" w:pos="540" w:leader="none"/>
        </w:tabs>
        <w:jc w:val="both"/>
        <w:rPr/>
      </w:pPr>
      <w:r>
        <w:rPr/>
        <w:t>cc:</w:t>
        <w:tab/>
        <w:t>Jim Keller</w:t>
      </w:r>
    </w:p>
    <w:p>
      <w:pPr>
        <w:pStyle w:val="Body"/>
        <w:tabs>
          <w:tab w:val="left" w:pos="540" w:leader="none"/>
        </w:tabs>
        <w:jc w:val="both"/>
        <w:rPr/>
      </w:pPr>
      <w:r>
        <w:rPr/>
        <w:tab/>
        <w:t>Carol St. Clair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/mnt/main-storage/datasets/enron-docs/doc/01190.doc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;Times New Roman" w:hAnsi="CG Times;Times New Roman" w:cs="CG Times;Times New Roman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2001-05-24T18:03:00Z</dcterms:created>
  <dc:creator>protmp5</dc:creator>
  <dc:description/>
  <dc:language>en-CA</dc:language>
  <cp:lastModifiedBy>kellis</cp:lastModifiedBy>
  <cp:lastPrinted>2001-05-24T15:49:00Z</cp:lastPrinted>
  <dcterms:modified xsi:type="dcterms:W3CDTF">2001-05-24T18:19:00Z</dcterms:modified>
  <cp:revision>3</cp:revision>
  <dc:subject/>
  <dc:title>Better, Faster, Simpler Memo </dc:title>
</cp:coreProperties>
</file>