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ind w:firstLine="720" w:end="0"/>
        <w:jc w:val="center"/>
        <w:rPr>
          <w:sz w:val="22"/>
        </w:rPr>
      </w:pPr>
      <w:r>
        <w:rPr>
          <w:sz w:val="22"/>
        </w:rPr>
        <w:t>January ____, 2001</w:t>
      </w:r>
    </w:p>
    <w:p>
      <w:pPr>
        <w:pStyle w:val="Normal"/>
        <w:rPr>
          <w:sz w:val="22"/>
        </w:rPr>
      </w:pPr>
      <w:r>
        <w:rPr>
          <w:sz w:val="22"/>
        </w:rPr>
      </w:r>
    </w:p>
    <w:p>
      <w:pPr>
        <w:pStyle w:val="Normal"/>
        <w:rPr>
          <w:sz w:val="22"/>
        </w:rPr>
      </w:pPr>
      <w:r>
        <w:rPr>
          <w:sz w:val="22"/>
        </w:rPr>
      </w:r>
    </w:p>
    <w:p>
      <w:pPr>
        <w:pStyle w:val="Normal"/>
        <w:rPr>
          <w:sz w:val="22"/>
        </w:rPr>
      </w:pPr>
      <w:r>
        <w:rPr>
          <w:sz w:val="22"/>
        </w:rPr>
        <w:t>PSEG Energy Resources and Trading LLC</w:t>
      </w:r>
    </w:p>
    <w:p>
      <w:pPr>
        <w:pStyle w:val="Normal"/>
        <w:rPr>
          <w:sz w:val="22"/>
        </w:rPr>
      </w:pPr>
      <w:r>
        <w:rPr>
          <w:sz w:val="22"/>
        </w:rPr>
        <w:t>80 Park Plaza – T21</w:t>
      </w:r>
    </w:p>
    <w:p>
      <w:pPr>
        <w:pStyle w:val="Normal"/>
        <w:rPr>
          <w:sz w:val="22"/>
        </w:rPr>
      </w:pPr>
      <w:r>
        <w:rPr>
          <w:sz w:val="22"/>
        </w:rPr>
        <w:t>Newark, New Jersey 07101</w:t>
      </w:r>
    </w:p>
    <w:p>
      <w:pPr>
        <w:pStyle w:val="Normal"/>
        <w:rPr>
          <w:sz w:val="22"/>
        </w:rPr>
      </w:pPr>
      <w:r>
        <w:rPr>
          <w:sz w:val="22"/>
        </w:rPr>
      </w:r>
    </w:p>
    <w:p>
      <w:pPr>
        <w:pStyle w:val="Normal"/>
        <w:rPr>
          <w:sz w:val="22"/>
        </w:rPr>
      </w:pPr>
      <w:r>
        <w:rPr>
          <w:sz w:val="22"/>
        </w:rPr>
        <w:t>Attn:</w:t>
        <w:tab/>
        <w:t>David W. Wohlfarth</w:t>
        <w:tab/>
      </w:r>
    </w:p>
    <w:p>
      <w:pPr>
        <w:pStyle w:val="Normal"/>
        <w:rPr>
          <w:sz w:val="22"/>
        </w:rPr>
      </w:pPr>
      <w:r>
        <w:rPr>
          <w:sz w:val="22"/>
        </w:rPr>
        <w:tab/>
      </w:r>
    </w:p>
    <w:p>
      <w:pPr>
        <w:pStyle w:val="Normal"/>
        <w:rPr>
          <w:sz w:val="22"/>
        </w:rPr>
      </w:pPr>
      <w:r>
        <w:rPr>
          <w:sz w:val="22"/>
        </w:rPr>
        <w:t>Re:</w:t>
        <w:tab/>
        <w:t>Letter of Understanding</w:t>
      </w:r>
    </w:p>
    <w:p>
      <w:pPr>
        <w:pStyle w:val="Normal"/>
        <w:rPr>
          <w:sz w:val="22"/>
        </w:rPr>
      </w:pPr>
      <w:r>
        <w:rPr>
          <w:sz w:val="22"/>
        </w:rPr>
      </w:r>
    </w:p>
    <w:p>
      <w:pPr>
        <w:pStyle w:val="Normal"/>
        <w:rPr>
          <w:sz w:val="22"/>
        </w:rPr>
      </w:pPr>
      <w:r>
        <w:rPr>
          <w:sz w:val="22"/>
        </w:rPr>
        <w:t>Dear Mr. Wohlfarth:</w:t>
      </w:r>
    </w:p>
    <w:p>
      <w:pPr>
        <w:pStyle w:val="Normal"/>
        <w:rPr>
          <w:sz w:val="22"/>
        </w:rPr>
      </w:pPr>
      <w:r>
        <w:rPr>
          <w:sz w:val="22"/>
        </w:rPr>
      </w:r>
    </w:p>
    <w:p>
      <w:pPr>
        <w:pStyle w:val="BodyText"/>
        <w:rPr>
          <w:sz w:val="22"/>
        </w:rPr>
      </w:pPr>
      <w:r>
        <w:rPr>
          <w:sz w:val="22"/>
        </w:rPr>
        <w:tab/>
        <w:t xml:space="preserve">Public Service Electric and Gas Company (PSE&amp;G) filed on August 11, 2000 a Petition and supporting testimony with the New Jersey Board of Public Utilities (BPU) to change its current cost recovery based pricing to market based pricing for its natural gas commodity provided to all of its firm gas customers.  The Petition includes the transfer of PSE&amp;G’s interstate capacity, storage, supply and operating agreements to an unregulated affiliate and the purchase of natural gas by PSE&amp;G from the unregulated affiliate under a Requirements Contract for the purpose of enabling PSE&amp;G to fulfill its supply requirements.   </w:t>
      </w:r>
    </w:p>
    <w:p>
      <w:pPr>
        <w:pStyle w:val="Normal"/>
        <w:jc w:val="both"/>
        <w:rPr>
          <w:sz w:val="22"/>
        </w:rPr>
      </w:pPr>
      <w:r>
        <w:rPr>
          <w:sz w:val="22"/>
        </w:rPr>
      </w:r>
    </w:p>
    <w:p>
      <w:pPr>
        <w:pStyle w:val="Normal"/>
        <w:jc w:val="both"/>
        <w:rPr>
          <w:sz w:val="22"/>
        </w:rPr>
      </w:pPr>
      <w:r>
        <w:rPr>
          <w:sz w:val="22"/>
        </w:rPr>
        <w:tab/>
        <w:t>PSEG Energy Resources and Trading LLC, or its designee (PSEG or Buyer), desires to transfer twenty percent (20%) of the risk associated with the Requirements Contract to Enron North America Corp. (ENA or Seller) .  Pending the preparation and execution of definitive agreements, this letter will confirm our understanding regarding the proposed natural gas contract management transaction (the "Contract Management Transaction") between PSEG or its designee and ENA in accordance with the following:</w:t>
      </w:r>
    </w:p>
    <w:p>
      <w:pPr>
        <w:pStyle w:val="Normal"/>
        <w:jc w:val="both"/>
        <w:rPr>
          <w:sz w:val="22"/>
        </w:rPr>
      </w:pPr>
      <w:r>
        <w:rPr>
          <w:sz w:val="22"/>
        </w:rPr>
      </w:r>
    </w:p>
    <w:p>
      <w:pPr>
        <w:pStyle w:val="Normal"/>
        <w:tabs>
          <w:tab w:val="left" w:pos="720" w:leader="none"/>
        </w:tabs>
        <w:jc w:val="both"/>
        <w:rPr/>
      </w:pPr>
      <w:r>
        <w:rPr>
          <w:sz w:val="22"/>
        </w:rPr>
        <w:t>1.</w:t>
        <w:tab/>
      </w:r>
      <w:r>
        <w:rPr>
          <w:sz w:val="22"/>
          <w:u w:val="single"/>
        </w:rPr>
        <w:t>Term Sheet</w:t>
      </w:r>
      <w:r>
        <w:rPr>
          <w:sz w:val="22"/>
        </w:rPr>
        <w:t xml:space="preserve">.  The Contract Management Transaction will be made substantially in accordance with this letter and the Term Sheet attached hereto as Appendix “1”.  To the extent that there is any conflict between the Term Sheet and this letter, this letter shall control.  </w:t>
      </w:r>
    </w:p>
    <w:p>
      <w:pPr>
        <w:pStyle w:val="Normal"/>
        <w:tabs>
          <w:tab w:val="left" w:pos="720" w:leader="none"/>
        </w:tabs>
        <w:jc w:val="both"/>
        <w:rPr>
          <w:sz w:val="22"/>
        </w:rPr>
      </w:pPr>
      <w:r>
        <w:rPr>
          <w:sz w:val="22"/>
        </w:rPr>
      </w:r>
    </w:p>
    <w:p>
      <w:pPr>
        <w:pStyle w:val="Normal"/>
        <w:numPr>
          <w:ilvl w:val="0"/>
          <w:numId w:val="2"/>
        </w:numPr>
        <w:tabs>
          <w:tab w:val="clear" w:pos="720"/>
          <w:tab w:val="left" w:pos="0" w:leader="none"/>
        </w:tabs>
        <w:ind w:hanging="0" w:start="0" w:end="0"/>
        <w:jc w:val="both"/>
        <w:rPr>
          <w:sz w:val="22"/>
        </w:rPr>
      </w:pPr>
      <w:r>
        <w:rPr>
          <w:sz w:val="22"/>
          <w:u w:val="single"/>
        </w:rPr>
        <w:t>Confidentiality</w:t>
      </w:r>
      <w:r>
        <w:rPr>
          <w:sz w:val="22"/>
        </w:rPr>
        <w:t xml:space="preserve">.  The existence of this letter and its contents are intended to be confidential and are not to be discussed with or disclosed to any third parties except (i) with the express written consent of the other party hereto, (ii) as may be required or appropriate in response to any summons, subpoena or discovery order or to comply with any applicable law, order, regulation or ruling or (iii) as ENA and PSEG, or their designees, reasonably deem appropriate in order to conduct due diligence relating to the Contract Management Transaction.  The parties also agree that neither party will issue any type of press release or public document announcing this transaction.  If either party issues such a release or other public document, the other party may, at its option, immediately terminate this agreement in which event this agreement shall become null and void </w:t>
      </w:r>
      <w:r>
        <w:rPr>
          <w:sz w:val="22"/>
          <w:u w:val="single"/>
        </w:rPr>
        <w:t>ab</w:t>
      </w:r>
      <w:r>
        <w:rPr>
          <w:sz w:val="22"/>
        </w:rPr>
        <w:t xml:space="preserve"> </w:t>
      </w:r>
      <w:r>
        <w:rPr>
          <w:sz w:val="22"/>
          <w:u w:val="single"/>
        </w:rPr>
        <w:t>initio</w:t>
      </w:r>
      <w:r>
        <w:rPr>
          <w:sz w:val="22"/>
        </w:rPr>
        <w:t xml:space="preserve"> and neither party shall have any obligation to the other with respect to the Contract Management Transaction or any other matter arising under this agreement.  </w:t>
      </w:r>
    </w:p>
    <w:p>
      <w:pPr>
        <w:pStyle w:val="Normal"/>
        <w:tabs>
          <w:tab w:val="clear" w:pos="720"/>
          <w:tab w:val="left" w:pos="0" w:leader="none"/>
        </w:tabs>
        <w:jc w:val="both"/>
        <w:rPr>
          <w:sz w:val="22"/>
        </w:rPr>
      </w:pPr>
      <w:r>
        <w:rPr>
          <w:sz w:val="22"/>
        </w:rPr>
      </w:r>
    </w:p>
    <w:p>
      <w:pPr>
        <w:pStyle w:val="Normal"/>
        <w:numPr>
          <w:ilvl w:val="0"/>
          <w:numId w:val="2"/>
        </w:numPr>
        <w:tabs>
          <w:tab w:val="clear" w:pos="720"/>
          <w:tab w:val="left" w:pos="0" w:leader="none"/>
        </w:tabs>
        <w:ind w:hanging="0" w:start="0" w:end="0"/>
        <w:jc w:val="both"/>
        <w:rPr>
          <w:sz w:val="22"/>
        </w:rPr>
      </w:pPr>
      <w:r>
        <w:rPr>
          <w:sz w:val="22"/>
          <w:u w:val="single"/>
        </w:rPr>
        <w:t>Expenses</w:t>
      </w:r>
      <w:r>
        <w:rPr>
          <w:sz w:val="22"/>
        </w:rPr>
        <w:t>.  In the event ENA and PSEG fail to execute definitive agreements, each party will bear it own expenses.</w:t>
      </w:r>
    </w:p>
    <w:p>
      <w:pPr>
        <w:pStyle w:val="Normal"/>
        <w:jc w:val="both"/>
        <w:rPr>
          <w:sz w:val="22"/>
        </w:rPr>
      </w:pPr>
      <w:r>
        <w:rPr>
          <w:sz w:val="22"/>
        </w:rPr>
      </w:r>
    </w:p>
    <w:p>
      <w:pPr>
        <w:pStyle w:val="Normal"/>
        <w:jc w:val="both"/>
        <w:rPr>
          <w:sz w:val="22"/>
          <w:u w:val="single"/>
        </w:rPr>
      </w:pPr>
      <w:r>
        <w:rPr>
          <w:sz w:val="22"/>
        </w:rPr>
        <w:t xml:space="preserve">4. </w:t>
        <w:tab/>
      </w:r>
      <w:r>
        <w:rPr>
          <w:sz w:val="22"/>
          <w:u w:val="single"/>
        </w:rPr>
        <w:t>Due Diligence</w:t>
      </w:r>
      <w:r>
        <w:rPr>
          <w:sz w:val="22"/>
        </w:rPr>
        <w:t>.  Due diligence will commence upon execution of this Letter of Understanding and run concurrently with contract negotiations.</w:t>
      </w:r>
    </w:p>
    <w:p>
      <w:pPr>
        <w:pStyle w:val="Normal"/>
        <w:jc w:val="both"/>
        <w:rPr>
          <w:sz w:val="22"/>
          <w:u w:val="single"/>
        </w:rPr>
      </w:pPr>
      <w:r>
        <w:rPr>
          <w:sz w:val="22"/>
          <w:u w:val="single"/>
        </w:rPr>
      </w:r>
    </w:p>
    <w:p>
      <w:pPr>
        <w:pStyle w:val="Normal"/>
        <w:jc w:val="both"/>
        <w:rPr/>
      </w:pPr>
      <w:r>
        <w:rPr>
          <w:sz w:val="22"/>
        </w:rPr>
        <w:t xml:space="preserve">5. </w:t>
        <w:tab/>
      </w:r>
      <w:r>
        <w:rPr>
          <w:sz w:val="22"/>
          <w:u w:val="single"/>
        </w:rPr>
        <w:t>Non-binding Obligation</w:t>
      </w:r>
      <w:r>
        <w:rPr>
          <w:sz w:val="22"/>
        </w:rPr>
        <w:t xml:space="preserve">.  Except as to Paragraphs 2 and 3 which are intended to be legally binding, ENA and PSEG understand and agree that this letter sets forth the parties’ understanding only.  This letter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 within _____ days.   </w:t>
      </w:r>
    </w:p>
    <w:p>
      <w:pPr>
        <w:pStyle w:val="Normal"/>
        <w:jc w:val="both"/>
        <w:rPr>
          <w:sz w:val="22"/>
        </w:rPr>
      </w:pPr>
      <w:r>
        <w:rPr>
          <w:sz w:val="22"/>
        </w:rPr>
      </w:r>
    </w:p>
    <w:p>
      <w:pPr>
        <w:pStyle w:val="BodyTextIndent2"/>
        <w:ind w:hanging="0" w:start="0" w:end="0"/>
        <w:rPr/>
      </w:pPr>
      <w:r>
        <w:rPr>
          <w:sz w:val="22"/>
        </w:rPr>
        <w:t>6.</w:t>
        <w:tab/>
      </w:r>
      <w:r>
        <w:rPr>
          <w:sz w:val="22"/>
          <w:u w:val="single"/>
        </w:rPr>
        <w:t>Approvals.</w:t>
      </w:r>
      <w:r>
        <w:rPr>
          <w:sz w:val="22"/>
        </w:rPr>
        <w:t xml:space="preserve">  This agreement is subject to Buyer’s and PSE&amp;G’s approval of the final order issued by the BPU in a form acceptable to Buyer and PSE&amp;G authorizing the transfer of all or substantially all of the contracts from PSE&amp;G to Buyer and the sale of gas to PSE&amp;G under the Requirements Contact (the “Order”) as described in the August 11, 2000 Petition or any filing made by PSE&amp;G or Buyer to amend or supercede such Petition.  Within seven (7) days of Buyer’s and PSE&amp;G’s acceptance of the Order and the provision of notice thereof to Seller, Seller shall have the option to: (1) accept the terms and conditions of the Order, the transfer of the assets to Buyer, the Requirements Contract and Seller’s obligations herein; or (2) terminate this agreement after written notice to Buyer.  Seller agrees that if it terminates this agreement as provided under option “2” above, it shall not take any action adverse to the implementation of the matters described in the Order or in other orders issued in response to PSE&amp;G's August 11, 2000 Petition by the BPU in connection with the transfer of the contracts from PSE&amp;G to Buyer or the sale of gas under the Requirements Contract.   </w:t>
      </w:r>
    </w:p>
    <w:p>
      <w:pPr>
        <w:pStyle w:val="BodyTextIndent2"/>
        <w:ind w:hanging="0" w:start="0" w:end="0"/>
        <w:rPr>
          <w:sz w:val="22"/>
        </w:rPr>
      </w:pPr>
      <w:r>
        <w:rPr>
          <w:sz w:val="22"/>
        </w:rPr>
      </w:r>
    </w:p>
    <w:p>
      <w:pPr>
        <w:pStyle w:val="BodyTextIndent2"/>
        <w:ind w:hanging="0" w:start="0" w:end="0"/>
        <w:rPr/>
      </w:pPr>
      <w:r>
        <w:rPr>
          <w:sz w:val="22"/>
        </w:rPr>
        <w:t>7.</w:t>
        <w:tab/>
      </w:r>
      <w:r>
        <w:rPr>
          <w:sz w:val="22"/>
          <w:u w:val="single"/>
        </w:rPr>
        <w:t>Negotiated Settlements.</w:t>
      </w:r>
      <w:r>
        <w:rPr>
          <w:sz w:val="22"/>
        </w:rPr>
        <w:t xml:space="preserve">  Nothing in this agreement shall restrict or otherwise affect the ability of Buyer and/or PSE&amp;G to engage in discussions with interested parties including, without limitation, the BPU Staff and the New Jersey Division of the Ratepayer Advocate, to reach a negotiated settlement (subject to approval by the BPU) with respect to the authorizations sought in the August 11, 2000 Petition.  </w:t>
      </w:r>
    </w:p>
    <w:p>
      <w:pPr>
        <w:pStyle w:val="Normal"/>
        <w:jc w:val="both"/>
        <w:rPr>
          <w:sz w:val="22"/>
        </w:rPr>
      </w:pPr>
      <w:r>
        <w:rPr>
          <w:sz w:val="22"/>
        </w:rPr>
      </w:r>
    </w:p>
    <w:p>
      <w:pPr>
        <w:pStyle w:val="BodyTextIndent"/>
        <w:rPr>
          <w:sz w:val="22"/>
        </w:rPr>
      </w:pPr>
      <w:r>
        <w:rPr>
          <w:sz w:val="22"/>
        </w:rPr>
        <w:t>If the terms and conditions of this letter are in accord with your understanding, please sign and return the enclosed counterpart of this letter to be received no later than, 2000.</w:t>
      </w:r>
    </w:p>
    <w:p>
      <w:pPr>
        <w:pStyle w:val="BodyTextIndent"/>
        <w:rPr>
          <w:sz w:val="22"/>
        </w:rPr>
      </w:pPr>
      <w:r>
        <w:rPr>
          <w:sz w:val="22"/>
        </w:rPr>
      </w:r>
    </w:p>
    <w:p>
      <w:pPr>
        <w:pStyle w:val="BodyTextIndent"/>
        <w:ind w:start="2880" w:end="0"/>
        <w:rPr>
          <w:sz w:val="22"/>
        </w:rPr>
      </w:pPr>
      <w:r>
        <w:rPr>
          <w:sz w:val="22"/>
        </w:rPr>
        <w:t xml:space="preserve">Very truly yours, </w:t>
      </w:r>
    </w:p>
    <w:p>
      <w:pPr>
        <w:pStyle w:val="BodyTextIndent"/>
        <w:ind w:start="2880" w:end="0"/>
        <w:rPr>
          <w:sz w:val="22"/>
        </w:rPr>
      </w:pPr>
      <w:r>
        <w:rPr>
          <w:sz w:val="22"/>
        </w:rPr>
      </w:r>
    </w:p>
    <w:p>
      <w:pPr>
        <w:pStyle w:val="BodyTextIndent"/>
        <w:ind w:start="2880" w:end="0"/>
        <w:rPr>
          <w:sz w:val="22"/>
        </w:rPr>
      </w:pPr>
      <w:r>
        <w:rPr>
          <w:sz w:val="22"/>
        </w:rPr>
        <w:t>Enron North America Corp.</w:t>
      </w:r>
    </w:p>
    <w:p>
      <w:pPr>
        <w:pStyle w:val="BodyTextIndent"/>
        <w:ind w:start="2880" w:end="0"/>
        <w:rPr>
          <w:sz w:val="22"/>
        </w:rPr>
      </w:pPr>
      <w:r>
        <w:rPr>
          <w:sz w:val="22"/>
        </w:rPr>
      </w:r>
    </w:p>
    <w:p>
      <w:pPr>
        <w:pStyle w:val="BodyTextIndent"/>
        <w:ind w:start="2880" w:end="0"/>
        <w:rPr>
          <w:sz w:val="22"/>
        </w:rPr>
      </w:pPr>
      <w:r>
        <w:rPr>
          <w:sz w:val="22"/>
        </w:rPr>
      </w:r>
    </w:p>
    <w:p>
      <w:pPr>
        <w:pStyle w:val="BodyTextIndent"/>
        <w:ind w:start="2880" w:end="0"/>
        <w:rPr>
          <w:sz w:val="22"/>
        </w:rPr>
      </w:pPr>
      <w:r>
        <w:rPr>
          <w:sz w:val="22"/>
        </w:rPr>
        <w:t>By: ____________________</w:t>
      </w:r>
    </w:p>
    <w:p>
      <w:pPr>
        <w:pStyle w:val="BodyTextIndent"/>
        <w:ind w:start="2880" w:end="0"/>
        <w:rPr>
          <w:sz w:val="22"/>
        </w:rPr>
      </w:pPr>
      <w:r>
        <w:rPr>
          <w:sz w:val="22"/>
        </w:rPr>
        <w:t>Name: __________________</w:t>
      </w:r>
    </w:p>
    <w:p>
      <w:pPr>
        <w:pStyle w:val="BodyTextIndent"/>
        <w:ind w:start="2880" w:end="0"/>
        <w:rPr>
          <w:sz w:val="22"/>
        </w:rPr>
      </w:pPr>
      <w:r>
        <w:rPr>
          <w:sz w:val="22"/>
        </w:rPr>
        <w:t>Title: ___________________</w:t>
      </w:r>
    </w:p>
    <w:p>
      <w:pPr>
        <w:pStyle w:val="BodyTextIndent"/>
        <w:ind w:start="2880" w:end="0"/>
        <w:rPr>
          <w:sz w:val="22"/>
        </w:rPr>
      </w:pPr>
      <w:r>
        <w:rPr>
          <w:sz w:val="22"/>
        </w:rPr>
      </w:r>
    </w:p>
    <w:p>
      <w:pPr>
        <w:pStyle w:val="BodyTextIndent"/>
        <w:ind w:start="2880" w:end="0"/>
        <w:rPr>
          <w:sz w:val="22"/>
        </w:rPr>
      </w:pPr>
      <w:r>
        <w:rPr>
          <w:sz w:val="22"/>
        </w:rPr>
      </w:r>
    </w:p>
    <w:p>
      <w:pPr>
        <w:pStyle w:val="BodyTextIndent"/>
        <w:rPr>
          <w:sz w:val="22"/>
        </w:rPr>
      </w:pPr>
      <w:r>
        <w:rPr>
          <w:sz w:val="22"/>
        </w:rPr>
      </w:r>
    </w:p>
    <w:p>
      <w:pPr>
        <w:pStyle w:val="BodyTextIndent"/>
        <w:ind w:hanging="0" w:end="0"/>
        <w:rPr>
          <w:sz w:val="22"/>
        </w:rPr>
      </w:pPr>
      <w:r>
        <w:rPr>
          <w:sz w:val="22"/>
        </w:rPr>
        <w:t xml:space="preserve">Agreed and Accepted this ____ day of </w:t>
      </w:r>
    </w:p>
    <w:p>
      <w:pPr>
        <w:pStyle w:val="BodyTextIndent"/>
        <w:ind w:hanging="0" w:end="0"/>
        <w:rPr>
          <w:sz w:val="22"/>
        </w:rPr>
      </w:pPr>
      <w:r>
        <w:rPr>
          <w:sz w:val="22"/>
        </w:rPr>
        <w:t>____________, 2001</w:t>
      </w:r>
    </w:p>
    <w:p>
      <w:pPr>
        <w:pStyle w:val="BodyTextIndent"/>
        <w:ind w:hanging="0" w:end="0"/>
        <w:rPr>
          <w:sz w:val="22"/>
        </w:rPr>
      </w:pPr>
      <w:r>
        <w:rPr>
          <w:sz w:val="22"/>
        </w:rPr>
      </w:r>
    </w:p>
    <w:p>
      <w:pPr>
        <w:pStyle w:val="BodyTextIndent"/>
        <w:ind w:hanging="0" w:end="0"/>
        <w:rPr>
          <w:sz w:val="22"/>
        </w:rPr>
      </w:pPr>
      <w:r>
        <w:rPr>
          <w:sz w:val="22"/>
        </w:rPr>
        <w:t>PSEG Energy Resources and Trading LLC</w:t>
      </w:r>
    </w:p>
    <w:p>
      <w:pPr>
        <w:pStyle w:val="BodyTextIndent"/>
        <w:ind w:hanging="0" w:end="0"/>
        <w:rPr>
          <w:sz w:val="22"/>
        </w:rPr>
      </w:pPr>
      <w:r>
        <w:rPr>
          <w:sz w:val="22"/>
        </w:rPr>
      </w:r>
    </w:p>
    <w:p>
      <w:pPr>
        <w:pStyle w:val="BodyTextIndent"/>
        <w:ind w:hanging="0" w:end="0"/>
        <w:rPr>
          <w:sz w:val="22"/>
        </w:rPr>
      </w:pPr>
      <w:r>
        <w:rPr>
          <w:sz w:val="22"/>
        </w:rPr>
        <w:t>By: ____________________</w:t>
      </w:r>
    </w:p>
    <w:p>
      <w:pPr>
        <w:pStyle w:val="BodyTextIndent"/>
        <w:ind w:hanging="0" w:end="0"/>
        <w:rPr>
          <w:sz w:val="22"/>
        </w:rPr>
      </w:pPr>
      <w:r>
        <w:rPr>
          <w:sz w:val="22"/>
        </w:rPr>
        <w:t>Name: __________________</w:t>
      </w:r>
    </w:p>
    <w:p>
      <w:pPr>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pStyle w:val="BodyTextIndent"/>
        <w:ind w:hanging="0" w:end="0"/>
        <w:rPr>
          <w:sz w:val="22"/>
        </w:rPr>
      </w:pPr>
      <w:r>
        <w:rPr>
          <w:sz w:val="22"/>
        </w:rPr>
        <w:t>Title: ___________________</w:t>
      </w:r>
    </w:p>
    <w:p>
      <w:pPr>
        <w:pStyle w:val="Heading"/>
        <w:rPr/>
      </w:pPr>
      <w:r>
        <w:rPr/>
        <w:t xml:space="preserve">Gas Supply Management Agreement </w:t>
      </w:r>
    </w:p>
    <w:p>
      <w:pPr>
        <w:pStyle w:val="Heading"/>
        <w:rPr/>
      </w:pPr>
      <w:r>
        <w:rPr/>
        <w:t>between PSEG Energy Resources and Trading LLC</w:t>
      </w:r>
    </w:p>
    <w:p>
      <w:pPr>
        <w:pStyle w:val="Heading"/>
        <w:rPr/>
      </w:pPr>
      <w:r>
        <w:rPr/>
        <w:t>and Enron North America Corp.</w:t>
      </w:r>
    </w:p>
    <w:p>
      <w:pPr>
        <w:pStyle w:val="Heading"/>
        <w:rPr>
          <w:sz w:val="28"/>
        </w:rPr>
      </w:pPr>
      <w:r>
        <w:rPr>
          <w:sz w:val="28"/>
        </w:rPr>
      </w:r>
    </w:p>
    <w:p>
      <w:pPr>
        <w:pStyle w:val="BodyTextIndent"/>
        <w:rPr/>
      </w:pPr>
      <w:r>
        <w:rPr/>
        <w:t>Buyer:</w:t>
        <w:tab/>
        <w:t xml:space="preserve">PSEG Energy Resources and Trading, LLC, or at its designee, “Newco”. </w:t>
      </w:r>
    </w:p>
    <w:p>
      <w:pPr>
        <w:pStyle w:val="Normal"/>
        <w:jc w:val="both"/>
        <w:rPr>
          <w:sz w:val="20"/>
        </w:rPr>
      </w:pPr>
      <w:r>
        <w:rPr>
          <w:sz w:val="20"/>
        </w:rPr>
      </w:r>
    </w:p>
    <w:p>
      <w:pPr>
        <w:pStyle w:val="Normal"/>
        <w:jc w:val="both"/>
        <w:rPr>
          <w:sz w:val="20"/>
        </w:rPr>
      </w:pPr>
      <w:r>
        <w:rPr>
          <w:sz w:val="20"/>
        </w:rPr>
        <w:t>Seller:</w:t>
        <w:tab/>
        <w:tab/>
        <w:t>Enron North America Corp.</w:t>
      </w:r>
    </w:p>
    <w:p>
      <w:pPr>
        <w:pStyle w:val="Normal"/>
        <w:jc w:val="both"/>
        <w:rPr>
          <w:sz w:val="20"/>
        </w:rPr>
      </w:pPr>
      <w:r>
        <w:rPr>
          <w:sz w:val="20"/>
        </w:rPr>
      </w:r>
    </w:p>
    <w:p>
      <w:pPr>
        <w:pStyle w:val="BodyText2"/>
        <w:ind w:hanging="1425" w:start="1425" w:end="0"/>
        <w:jc w:val="both"/>
        <w:rPr/>
      </w:pPr>
      <w:r>
        <w:rPr/>
        <w:t xml:space="preserve">Definitions: </w:t>
        <w:tab/>
        <w:t>For purposes of this</w:t>
      </w:r>
      <w:r>
        <w:rPr>
          <w:b/>
          <w:color w:val="FF0000"/>
        </w:rPr>
        <w:t xml:space="preserve"> </w:t>
      </w:r>
      <w:r>
        <w:rPr/>
        <w:t>Appendix 1, capitalized terms not otherwise defined herein shall have the meanings ascribed to them in the Requirements Contract.</w:t>
      </w:r>
    </w:p>
    <w:p>
      <w:pPr>
        <w:pStyle w:val="Normal"/>
        <w:jc w:val="both"/>
        <w:rPr>
          <w:sz w:val="20"/>
        </w:rPr>
      </w:pPr>
      <w:r>
        <w:rPr>
          <w:sz w:val="20"/>
        </w:rPr>
      </w:r>
    </w:p>
    <w:p>
      <w:pPr>
        <w:pStyle w:val="Normal"/>
        <w:jc w:val="both"/>
        <w:rPr>
          <w:sz w:val="20"/>
        </w:rPr>
      </w:pPr>
      <w:r>
        <w:rPr>
          <w:sz w:val="20"/>
        </w:rPr>
      </w:r>
    </w:p>
    <w:p>
      <w:pPr>
        <w:pStyle w:val="BodyText2"/>
        <w:ind w:hanging="1425" w:start="1425" w:end="0"/>
        <w:jc w:val="both"/>
        <w:rPr/>
      </w:pPr>
      <w:r>
        <w:rPr/>
        <w:t xml:space="preserve">Term: </w:t>
        <w:tab/>
        <w:t>The Gas Supply Management Agreement (GSMA) shall become effective the first day of the month following a final nonappealable order issued by the BPU approving the transfer of contracts to Buyer and the sale of natural gas to PSE&amp;G under the Requirements Contract for the provision of BGSS and shall continue in force and effect for an initial term ending December 31, 2002.  In the event PSE&amp;G exercises its optional right to extend the term of the Requirements Contract for an additional term of three (3) years, the GSMA shall be extended for a like period.  Thereafter, the GSMA shall continue in effect from year-to-year thereafter, unless terminated by either Buyer or Seller by giving written notice to the other at least 12 months prior to the end of the extended GSMA term, or at least 12 months prior to the end of any subsequent Contract Year thereafter.</w:t>
      </w:r>
    </w:p>
    <w:p>
      <w:pPr>
        <w:pStyle w:val="BodyText2"/>
        <w:ind w:hanging="1425" w:start="1425" w:end="0"/>
        <w:jc w:val="both"/>
        <w:rPr/>
      </w:pPr>
      <w:r>
        <w:rPr/>
      </w:r>
    </w:p>
    <w:p>
      <w:pPr>
        <w:pStyle w:val="BodyTextIndent"/>
        <w:ind w:hanging="1440" w:start="1440" w:end="0"/>
        <w:rPr>
          <w:sz w:val="20"/>
        </w:rPr>
      </w:pPr>
      <w:r>
        <w:rPr>
          <w:sz w:val="20"/>
        </w:rPr>
        <w:t>Quantity:</w:t>
        <w:tab/>
        <w:t xml:space="preserve">Twenty percent (20%) of Buyer’s total daily gas requirements under the Requirements Contract. Without limitation of any other provision of the GSMA, Seller expressly agrees and acknowledges that (i) its obligation to deliver the quantity specified herein shall be limited to the amount of interstate capacity or other gas supply assets released and/or assigned to Seller by Buyer; and   (ii) that interruptions or curtailments of non-firm supply obligations under PSE&amp;G’s non-firm rate schedules shall be at the sole discretion of PSE&amp;G.   </w:t>
      </w:r>
    </w:p>
    <w:p>
      <w:pPr>
        <w:pStyle w:val="BodyTextIndent"/>
        <w:ind w:hanging="0" w:end="0"/>
        <w:rPr>
          <w:sz w:val="20"/>
        </w:rPr>
      </w:pPr>
      <w:r>
        <w:rPr>
          <w:sz w:val="20"/>
        </w:rPr>
        <w:tab/>
      </w:r>
    </w:p>
    <w:p>
      <w:pPr>
        <w:pStyle w:val="BodyText"/>
        <w:ind w:hanging="1425" w:start="1425" w:end="0"/>
        <w:rPr>
          <w:sz w:val="20"/>
        </w:rPr>
      </w:pPr>
      <w:r>
        <w:rPr>
          <w:sz w:val="20"/>
        </w:rPr>
        <w:t xml:space="preserve">Delivery </w:t>
      </w:r>
    </w:p>
    <w:p>
      <w:pPr>
        <w:pStyle w:val="BodyText"/>
        <w:ind w:hanging="1425" w:start="1425" w:end="0"/>
        <w:rPr>
          <w:sz w:val="20"/>
        </w:rPr>
      </w:pPr>
      <w:r>
        <w:rPr>
          <w:sz w:val="20"/>
        </w:rPr>
        <w:t>Point(s):</w:t>
        <w:tab/>
        <w:t>Any points of interconnection between a pipeline system operated by a transporter and the distribution system operated by PSE&amp;G that are designated as points of delivery of gas to Seller in or under any of Buyer's Interstate Transportation and Storage Contracts or such other points where gas may be delivered for PSE&amp;G's account under the Requirements Contract.  Seller's rights to deliver gas at the Delivery Point(s) will be firm up to the primary firm entitlements specified in the Transportation and Storage Contracts and will not be limited in any way, including by deliveries by third parties.</w:t>
      </w:r>
    </w:p>
    <w:p>
      <w:pPr>
        <w:pStyle w:val="BodyText"/>
        <w:ind w:hanging="1425" w:start="1425" w:end="0"/>
        <w:rPr>
          <w:sz w:val="20"/>
        </w:rPr>
      </w:pPr>
      <w:r>
        <w:rPr>
          <w:sz w:val="20"/>
        </w:rPr>
      </w:r>
    </w:p>
    <w:p>
      <w:pPr>
        <w:pStyle w:val="BodyText2"/>
        <w:ind w:hanging="1425" w:start="1425" w:end="0"/>
        <w:jc w:val="both"/>
        <w:rPr/>
      </w:pPr>
      <w:r>
        <w:rPr/>
        <w:t>Price:</w:t>
        <w:tab/>
        <w:t>Seller shall receive from Buyer each month twenty percent (20%) of all payments and fees received by Buyer from PSE&amp;G under Section 2.2 of the proposed Requirements Contract for (1) gas supply and capacity charges under its BGSS rate schedules; (2) under the Generation Affiliate Supply Arrangement; (3) under the Non-Tariff Service Agreements; and (4) Balancing Charges.  [Need to discuss pass through of downstream taxes.]</w:t>
      </w:r>
    </w:p>
    <w:p>
      <w:pPr>
        <w:pStyle w:val="BodyText2"/>
        <w:ind w:hanging="1425" w:start="1425" w:end="0"/>
        <w:jc w:val="both"/>
        <w:rPr/>
      </w:pPr>
      <w:r>
        <w:rPr/>
      </w:r>
    </w:p>
    <w:p>
      <w:pPr>
        <w:pStyle w:val="BodyText2"/>
        <w:ind w:hanging="1425" w:start="1425" w:end="0"/>
        <w:jc w:val="both"/>
        <w:rPr/>
      </w:pPr>
      <w:r>
        <w:rPr/>
        <w:tab/>
        <w:t>Buyer shall advise Seller at least three (3) business days prior to any month of the rates to be charged by Buyer under the Requirements Contract for the provisions under the BGSS.  Buyer agrees that the price to be paid to Seller during any month for services under the BGSS shall never be less than the sum of: (1) the NYMEX Settlement Price for such month; (2) the weighted average cost of variable transportation charges (including fuel) of Buyer's Interstate Transportation and Storage Contracts from the primary receipt points to the primary delivery points; (3) the Non-Gulf Coast Cost of Gas charge, subject to any modification and restatement pursuant to the terms therein; and (4) _____ cents per dekatherm.</w:t>
      </w:r>
    </w:p>
    <w:p>
      <w:pPr>
        <w:pStyle w:val="BodyText2"/>
        <w:ind w:hanging="1425" w:start="1425" w:end="0"/>
        <w:jc w:val="both"/>
        <w:rPr/>
      </w:pPr>
      <w:r>
        <w:rPr/>
      </w:r>
    </w:p>
    <w:p>
      <w:pPr>
        <w:pStyle w:val="Normal"/>
        <w:rPr>
          <w:sz w:val="20"/>
        </w:rPr>
      </w:pPr>
      <w:r>
        <w:rPr>
          <w:sz w:val="20"/>
        </w:rPr>
        <w:t>Nominations</w:t>
      </w:r>
    </w:p>
    <w:p>
      <w:pPr>
        <w:pStyle w:val="Normal"/>
        <w:ind w:hanging="1425" w:start="1425" w:end="0"/>
        <w:jc w:val="both"/>
        <w:rPr>
          <w:sz w:val="20"/>
        </w:rPr>
      </w:pPr>
      <w:r>
        <w:rPr>
          <w:sz w:val="20"/>
        </w:rPr>
        <w:t>And Scheduling:</w:t>
        <w:tab/>
        <w:t>Buyer shall provide Seller with a daily forecast of its projected retail load no later than 8:00 a.m. E.T. of the previous day for the period Tuesday through Friday of any week and no later than 8:00 a.m. E.T. Friday for the period Saturday through Monday of any week.  [Need to discuss holidays and non-business days.]  Seller shall thereafter collaborate with Buyer in developing a plan that will meet Buyer's load projections through Seller's performance of the Scheduling Coordination Services.  Buyer agrees that it will promptly implement Seller's instructions with respect to Scheduling Coordination Services concerning matters that are within Buyer's custody or control.  Seller and Buyer agree to cooperate in scheduling and nominating all gas deliveries to be made pursuant to the Contract.  Seller and Buyer further agree to provide to the other, in as prompt a manner as reasonable, all information necessary to permit scheduling pursuant to such requirements.</w:t>
      </w:r>
    </w:p>
    <w:p>
      <w:pPr>
        <w:pStyle w:val="Header"/>
        <w:tabs>
          <w:tab w:val="clear" w:pos="4320"/>
          <w:tab w:val="clear" w:pos="8640"/>
        </w:tabs>
        <w:rPr/>
      </w:pPr>
      <w:r>
        <w:rPr/>
      </w:r>
    </w:p>
    <w:p>
      <w:pPr>
        <w:pStyle w:val="Heading3"/>
        <w:rPr>
          <w:i w:val="false"/>
          <w:i w:val="false"/>
          <w:u w:val="single"/>
        </w:rPr>
      </w:pPr>
      <w:r>
        <w:rPr>
          <w:i w:val="false"/>
          <w:u w:val="single"/>
        </w:rPr>
      </w:r>
    </w:p>
    <w:p>
      <w:pPr>
        <w:pStyle w:val="Normal"/>
        <w:ind w:hanging="1425" w:start="1425" w:end="0"/>
        <w:jc w:val="both"/>
        <w:rPr>
          <w:sz w:val="20"/>
        </w:rPr>
      </w:pPr>
      <w:r>
        <w:rPr>
          <w:sz w:val="20"/>
        </w:rPr>
        <w:t>Buyer’s Gas</w:t>
      </w:r>
    </w:p>
    <w:p>
      <w:pPr>
        <w:pStyle w:val="BodyTextIndent2"/>
        <w:rPr/>
      </w:pPr>
      <w:r>
        <w:rPr/>
        <w:t>Supply Contracts:</w:t>
        <w:tab/>
        <w:t>Buyer’s Gas Supply Contracts means collectively: (i) Gas Purchase Contracts, currently existing Transportation and Storage Contracts as specified on Exhibit 1 hereto (hereinafter referred to as “Buyer’s Interstate Supply Contracts”); (ii) the peak shaving contracts set forth on Exhibit 2 hereto (“Buyer’s Peak Shaving Contracts”); and (iii) Buyer’s rights to utilize PSE&amp;G’s Peak Shaving Facilities. Buyer will release to Seller an undivided 20% interest in Buyer’s Contracts and Buyer’s Peak Shaving Contracts. All releases of Buyer’s Interstate Supply Contracts will be at contract rates.  Buyer’s Gas Purchase Contracts will be assigned to Seller at contract costs. Seller will be responsible for all contract costs.  As it relates to Buyer’s Peak Shaving Contracts, Seller will be responsible for 20% of the costs of such contracts, however Buyer will retain complete control over the use and operation of such assets. As it relates to PSE&amp;G’s Peak Shaving Facilities, Seller agrees to be responsible for 20% of the fuel feedstock required to operate such facilities as well as 20% of any costs charged to Buyer by PSE&amp;G for the operation of such facilities.  Buyer will retain complete control over the use and operation of such facilities.   If Buyer is required to release a percentage of Buyer’s Gas Supply Contract portfolio to a third party supplier providing services in PSE&amp;G’s franchise area who has elected to take capacity under the proposed capacity release programs, Seller will release its pro rata percentage (20% of the whole) of the said capacity back to Buyer.  In the event the BGSS is terminated either at the end of the Initial Term or any subsequent period thereafter, Seller shall have the option to assign back to Buyer 50% of Buyer's Interstate Supply Contracts.</w:t>
      </w:r>
    </w:p>
    <w:p>
      <w:pPr>
        <w:pStyle w:val="BodyTextIndent2"/>
        <w:rPr/>
      </w:pPr>
      <w:r>
        <w:rPr/>
      </w:r>
    </w:p>
    <w:p>
      <w:pPr>
        <w:pStyle w:val="BodyTextIndent2"/>
        <w:ind w:hanging="0" w:start="0" w:end="0"/>
        <w:rPr/>
      </w:pPr>
      <w:r>
        <w:rPr/>
        <w:t>Audit</w:t>
      </w:r>
    </w:p>
    <w:p>
      <w:pPr>
        <w:pStyle w:val="BodyTextIndent2"/>
        <w:rPr/>
      </w:pPr>
      <w:r>
        <w:rPr/>
        <w:t>Rights:</w:t>
        <w:tab/>
        <w:t>Each party shall have the right at its own expense to examine and audit at a reasonable time the books, records and charts of the other to the extent necessary to verify the accuracy of any statements or charges made under or pursuant to any of the provisions of this agreement; provided that after a period of two (2) years all books, records and charts not under review or challenge shall be considered accurate and complete.</w:t>
      </w:r>
    </w:p>
    <w:p>
      <w:pPr>
        <w:pStyle w:val="BodyTextIndent2"/>
        <w:rPr/>
      </w:pPr>
      <w:r>
        <w:rPr/>
      </w:r>
    </w:p>
    <w:p>
      <w:pPr>
        <w:pStyle w:val="BodyTextIndent2"/>
        <w:rPr/>
      </w:pPr>
      <w:r>
        <w:rPr/>
        <w:t>Taxes:</w:t>
        <w:tab/>
        <w:t>Seller is liable for and shall pay, or cause to be paid, all Taxes levied on Gas provided by Seller under this agreement becoming applicable to such Gas at a point upstream of the Delivery Point(s).  Seller shall indemnify, defend and hold harmless Buyer from any Claim for such Taxes.  Buyer is liable for and shall pay, cause to be paid, all Taxes levied on Gas provided by Seller under this agreement becoming applicable to such Gas at or downstream of the Delivery Point(s), including and Taxes imposed or collected by a taxing authority with jurisdiction over Buyer.  Buyer shall indemnify, defend and hold harmless Seller from any Claims for such Taxes.</w:t>
      </w:r>
    </w:p>
    <w:p>
      <w:pPr>
        <w:pStyle w:val="BodyTextIndent2"/>
        <w:rPr/>
      </w:pPr>
      <w:r>
        <w:rPr/>
      </w:r>
    </w:p>
    <w:p>
      <w:pPr>
        <w:pStyle w:val="BodyTextIndent"/>
        <w:ind w:hanging="1440" w:start="1440" w:end="0"/>
        <w:rPr>
          <w:sz w:val="20"/>
        </w:rPr>
      </w:pPr>
      <w:r>
        <w:rPr>
          <w:sz w:val="20"/>
        </w:rPr>
        <w:t xml:space="preserve">Seller’s </w:t>
      </w:r>
    </w:p>
    <w:p>
      <w:pPr>
        <w:pStyle w:val="BodyTextIndent"/>
        <w:ind w:hanging="1440" w:start="1440" w:end="0"/>
        <w:rPr>
          <w:sz w:val="20"/>
        </w:rPr>
      </w:pPr>
      <w:r>
        <w:rPr>
          <w:sz w:val="20"/>
        </w:rPr>
        <w:t xml:space="preserve">Delivery </w:t>
      </w:r>
    </w:p>
    <w:p>
      <w:pPr>
        <w:pStyle w:val="BodyTextIndent"/>
        <w:ind w:hanging="1440" w:start="1440" w:end="0"/>
        <w:rPr>
          <w:sz w:val="20"/>
        </w:rPr>
      </w:pPr>
      <w:r>
        <w:rPr>
          <w:sz w:val="20"/>
        </w:rPr>
        <w:t>Obligation</w:t>
        <w:tab/>
        <w:t xml:space="preserve">Seller shall be obligated to deliver Gas under this GSMA except to the extent that Buyer is excused from making deliveries under the Requirements Contract; Seller agrees to comply with all representations and warranties given by Seller under the Requirements Contract (including, without limitation, Section 12.3 of the Requirements Contract entitled “Seller’s Performance Warranty” except to the extent said warranty conflicts with the control of the Peak Shaving Facility).  Without limitation of the foregoing, in the event that Buyer is entitled to assert the existence of a Force Majeure Event under the Requirements Contract, Seller shall be entitled to a pro rata reduction of its obligations under this agreement.    </w:t>
      </w:r>
    </w:p>
    <w:p>
      <w:pPr>
        <w:pStyle w:val="BodyTextIndent"/>
        <w:ind w:hanging="1440" w:start="1440" w:end="0"/>
        <w:rPr>
          <w:sz w:val="20"/>
        </w:rPr>
      </w:pPr>
      <w:r>
        <w:rPr>
          <w:sz w:val="20"/>
        </w:rPr>
      </w:r>
    </w:p>
    <w:p>
      <w:pPr>
        <w:pStyle w:val="BodyTextIndent"/>
        <w:ind w:hanging="1440" w:start="1440" w:end="0"/>
        <w:rPr>
          <w:sz w:val="20"/>
        </w:rPr>
      </w:pPr>
      <w:r>
        <w:rPr>
          <w:sz w:val="20"/>
        </w:rPr>
      </w:r>
    </w:p>
    <w:p>
      <w:pPr>
        <w:pStyle w:val="BodyTextIndent"/>
        <w:ind w:hanging="1440" w:start="1440" w:end="0"/>
        <w:rPr>
          <w:sz w:val="20"/>
        </w:rPr>
      </w:pPr>
      <w:r>
        <w:rPr>
          <w:sz w:val="20"/>
        </w:rPr>
      </w:r>
    </w:p>
    <w:p>
      <w:pPr>
        <w:pStyle w:val="BodyTextIndent"/>
        <w:ind w:hanging="1440" w:start="1440" w:end="0"/>
        <w:rPr>
          <w:sz w:val="20"/>
        </w:rPr>
      </w:pPr>
      <w:r>
        <w:rPr>
          <w:sz w:val="20"/>
        </w:rPr>
        <w:t xml:space="preserve">Buyers Receipt </w:t>
      </w:r>
    </w:p>
    <w:p>
      <w:pPr>
        <w:pStyle w:val="BodyTextIndent"/>
        <w:ind w:hanging="1440" w:start="1440" w:end="0"/>
        <w:rPr>
          <w:sz w:val="20"/>
        </w:rPr>
      </w:pPr>
      <w:r>
        <w:rPr>
          <w:sz w:val="20"/>
        </w:rPr>
        <w:t>Obligations:</w:t>
        <w:tab/>
        <w:t>Buyer shall be obligated to receive Gas under the GSMA except to the extent that Seller is excused from making deliveries under the GSMA.  Buyer agrees to comply with all representations and warranties given by PSE&amp;G under the Requirements Contract.</w:t>
      </w:r>
    </w:p>
    <w:p>
      <w:pPr>
        <w:pStyle w:val="BodyTextIndent"/>
        <w:ind w:hanging="1440" w:start="1440" w:end="0"/>
        <w:rPr>
          <w:sz w:val="20"/>
        </w:rPr>
      </w:pPr>
      <w:r>
        <w:rPr>
          <w:sz w:val="20"/>
        </w:rPr>
      </w:r>
    </w:p>
    <w:p>
      <w:pPr>
        <w:pStyle w:val="BodyTextIndent"/>
        <w:rPr>
          <w:sz w:val="20"/>
        </w:rPr>
      </w:pPr>
      <w:r>
        <w:rPr>
          <w:sz w:val="20"/>
        </w:rPr>
      </w:r>
    </w:p>
    <w:p>
      <w:pPr>
        <w:pStyle w:val="Normal"/>
        <w:keepLines/>
        <w:ind w:hanging="1440" w:start="1440" w:end="0"/>
        <w:jc w:val="both"/>
        <w:rPr>
          <w:sz w:val="20"/>
        </w:rPr>
      </w:pPr>
      <w:r>
        <w:rPr>
          <w:sz w:val="20"/>
        </w:rPr>
        <w:t>City Gate</w:t>
      </w:r>
    </w:p>
    <w:p>
      <w:pPr>
        <w:pStyle w:val="BodyTextIndent"/>
        <w:keepLines/>
        <w:ind w:hanging="1440" w:start="1440" w:end="0"/>
        <w:rPr>
          <w:sz w:val="20"/>
        </w:rPr>
      </w:pPr>
      <w:r>
        <w:rPr>
          <w:sz w:val="20"/>
        </w:rPr>
        <w:t>Allocations:</w:t>
        <w:tab/>
        <w:t xml:space="preserve">All city gate point allocations will be confirmed by and between PSE&amp;G and the Interstate Pipelines.  All individual (as opposed to aggregate) third-party city gate point allocations will be confidential to PSE&amp;G and the Interstate Pipelines. </w:t>
      </w:r>
    </w:p>
    <w:p>
      <w:pPr>
        <w:pStyle w:val="Normal"/>
        <w:ind w:hanging="1440" w:start="1440" w:end="0"/>
        <w:jc w:val="both"/>
        <w:rPr>
          <w:sz w:val="20"/>
        </w:rPr>
      </w:pPr>
      <w:r>
        <w:rPr>
          <w:sz w:val="20"/>
        </w:rPr>
      </w:r>
    </w:p>
    <w:p>
      <w:pPr>
        <w:pStyle w:val="Normal"/>
        <w:ind w:hanging="1425" w:start="1425" w:end="0"/>
        <w:jc w:val="both"/>
        <w:rPr>
          <w:sz w:val="20"/>
        </w:rPr>
      </w:pPr>
      <w:r>
        <w:rPr>
          <w:sz w:val="20"/>
        </w:rPr>
      </w:r>
    </w:p>
    <w:p>
      <w:pPr>
        <w:pStyle w:val="Normal"/>
        <w:ind w:hanging="1425" w:start="1425" w:end="0"/>
        <w:jc w:val="both"/>
        <w:rPr>
          <w:sz w:val="20"/>
        </w:rPr>
      </w:pPr>
      <w:r>
        <w:rPr>
          <w:sz w:val="20"/>
        </w:rPr>
        <w:t>Limitation</w:t>
      </w:r>
    </w:p>
    <w:p>
      <w:pPr>
        <w:pStyle w:val="Normal"/>
        <w:ind w:hanging="1425" w:start="1425" w:end="0"/>
        <w:jc w:val="both"/>
        <w:rPr>
          <w:sz w:val="20"/>
        </w:rPr>
      </w:pPr>
      <w:r>
        <w:rPr>
          <w:sz w:val="20"/>
        </w:rPr>
        <w:t>On Liability:</w:t>
        <w:tab/>
        <w:t>Neither party will have any liability to the other for incidental, consequential, punitive or special damages.  Seller shall indemnify and hold harmless Buyer with respect to any claims or actions asserted  in connection with the operations conducted or performance by Buyer under the Requirements Contract to the extent that such claim or actions arise in connection with Seller’s performance of this GSMA except for any such claims or actions that are caused by Buyer's negligence or willful misconduct.  Buyer shall indemnify and hold harmless Seller with respect to any claims or actions asserted in connection with the operations conducted or performance by Buyer under the Requirements Contract to the extent that such claims or actions arise in connection with Buyer’s performance of the Requirements Contract other than the twenty percent (20%) risk of performance transferred to Seller under this agreement, except for any such claims or actions that are caused by Seller's negligence or willful misconduct.  Other terms and conditions will be included in definitive agreements.</w:t>
      </w:r>
    </w:p>
    <w:p>
      <w:pPr>
        <w:pStyle w:val="Normal"/>
        <w:ind w:hanging="1425" w:start="1425" w:end="0"/>
        <w:jc w:val="both"/>
        <w:rPr>
          <w:sz w:val="20"/>
        </w:rPr>
      </w:pPr>
      <w:r>
        <w:rPr>
          <w:sz w:val="20"/>
        </w:rPr>
      </w:r>
    </w:p>
    <w:p>
      <w:pPr>
        <w:pStyle w:val="Normal"/>
        <w:jc w:val="both"/>
        <w:rPr>
          <w:sz w:val="20"/>
        </w:rPr>
      </w:pPr>
      <w:r>
        <w:rPr>
          <w:sz w:val="20"/>
        </w:rPr>
        <w:t>Regulatory</w:t>
      </w:r>
    </w:p>
    <w:p>
      <w:pPr>
        <w:pStyle w:val="BodyTextIndent2"/>
        <w:rPr/>
      </w:pPr>
      <w:r>
        <w:rPr/>
        <w:t>Risk:</w:t>
        <w:tab/>
        <w:t>Seller and Buyer agree that, in the event any legislative, judicial, regulatory or other governmental entity (i) impairs or disallows full and timely recovery in PSE&amp;G's rates of any payment made by PSE&amp;G or (ii) adopts any laws, regulations, orders or findings that substantially reduce the economic value of the proposed Requirements Contract, then the parties shall propose amendments to the proposed Requirements Contract to make such changes necessary to address the basis for the governmental determination in a manner that preserves the economic value of the proposed Requirements Contract to each party prior to such governmental determination; provided that if the parties do not agree upon an acceptable amendment within thirty (30) calendar days following the date of the governmental determination, then the GSMA shall automatically terminate.  In the event of such termination, Buyer and Seller shall seek to mitigate any impacts thereof and Buyer shall pay Seller for any losses from unwinding any financial and physical transactions entered into by Seller in connection with the GSMA.  Either party shall have the right to contest the validity of any such law, order, rule, or regulation affecting the recovery of payments hereunder or other determination affecting the proposed Requirements Contract and neither acquiescence therein nor compliance therewith for any period of time shall be construed as a waiver of such right.  Without limitation of the foregoing, the parties further agree that nothing in this agreement shall be interpreted in a manner so as to prejudice the claim by either party that the BPU lacks the jurisdiction to effect any modifications to the proposed Requirements Contract.</w:t>
      </w:r>
    </w:p>
    <w:p>
      <w:pPr>
        <w:pStyle w:val="Normal"/>
        <w:ind w:hanging="1425" w:start="1425" w:end="0"/>
        <w:jc w:val="both"/>
        <w:rPr>
          <w:sz w:val="20"/>
        </w:rPr>
      </w:pPr>
      <w:r>
        <w:rPr>
          <w:sz w:val="20"/>
        </w:rPr>
      </w:r>
    </w:p>
    <w:p>
      <w:pPr>
        <w:pStyle w:val="Normal"/>
        <w:ind w:hanging="1425" w:start="1425" w:end="0"/>
        <w:jc w:val="both"/>
        <w:rPr>
          <w:sz w:val="20"/>
        </w:rPr>
      </w:pPr>
      <w:r>
        <w:rPr>
          <w:sz w:val="20"/>
        </w:rPr>
        <w:t>Credit:</w:t>
        <w:tab/>
        <w:t>In order to secure all payment obligations of Buyer to Seller hereunder, Buyer shall cause ____________ to execute and deliver to Seller a mutually acceptable guaranty agreement.  In order to secure all payment obligations of Seller to Buyer hereunder, Seller shall cause Enron Corp. to execute and deliver to Buyer a mutually acceptable guaranty agreement.  Enron Corp.'s form of guaranty is attached hereto as Exhibit _____.  Additional credit terms may be required.</w:t>
      </w:r>
    </w:p>
    <w:p>
      <w:pPr>
        <w:pStyle w:val="Normal"/>
        <w:rPr>
          <w:sz w:val="20"/>
        </w:rPr>
      </w:pPr>
      <w:r>
        <w:rPr>
          <w:sz w:val="20"/>
        </w:rPr>
      </w:r>
    </w:p>
    <w:p>
      <w:pPr>
        <w:pStyle w:val="Normal"/>
        <w:ind w:hanging="1425" w:start="1425" w:end="0"/>
        <w:jc w:val="both"/>
        <w:rPr/>
      </w:pPr>
      <w:r>
        <w:rPr>
          <w:sz w:val="20"/>
        </w:rPr>
        <w:t>Arbitration:</w:t>
        <w:tab/>
        <w:t xml:space="preserve">Any dispute relating to the GSMA shall be resolved by binding, self-administered arbitration pursuant to the Commercial Arbitration Rules of the </w:t>
      </w:r>
      <w:r>
        <w:rPr>
          <w:sz w:val="20"/>
          <w:u w:val="single"/>
        </w:rPr>
        <w:t>America Arbitration Association</w:t>
      </w:r>
      <w:r>
        <w:rPr>
          <w:sz w:val="20"/>
        </w:rPr>
        <w:t xml:space="preserve"> ("</w:t>
      </w:r>
      <w:r>
        <w:rPr>
          <w:sz w:val="20"/>
          <w:u w:val="single"/>
        </w:rPr>
        <w:t>AAA</w:t>
      </w:r>
      <w:r>
        <w:rPr>
          <w:sz w:val="20"/>
        </w:rPr>
        <w:t>") and all such proceedings shall be subject to the Federal Arbitration Act.  There shall be three arbitrators.  Each party shall designate an arbitrator, who need not be neutral, within 30 days of receiving notice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the GSMA may be awarded and the arbitrators shall have no authority to award treble, exemplary or punitive damages of any type under any circumstances regardless of whether such damages may be available under New Jersey law.</w:t>
      </w:r>
    </w:p>
    <w:p>
      <w:pPr>
        <w:pStyle w:val="Normal"/>
        <w:ind w:hanging="1425" w:start="1425" w:end="0"/>
        <w:rPr>
          <w:sz w:val="20"/>
        </w:rPr>
      </w:pPr>
      <w:r>
        <w:rPr>
          <w:sz w:val="20"/>
        </w:rPr>
      </w:r>
    </w:p>
    <w:p>
      <w:pPr>
        <w:pStyle w:val="Normal"/>
        <w:ind w:hanging="1425" w:start="1425" w:end="0"/>
        <w:rPr>
          <w:sz w:val="20"/>
        </w:rPr>
      </w:pPr>
      <w:r>
        <w:rPr>
          <w:sz w:val="20"/>
        </w:rPr>
        <w:t>Early</w:t>
      </w:r>
    </w:p>
    <w:p>
      <w:pPr>
        <w:pStyle w:val="Normal"/>
        <w:ind w:hanging="1425" w:start="1425" w:end="0"/>
        <w:jc w:val="both"/>
        <w:rPr/>
      </w:pPr>
      <w:r>
        <w:rPr>
          <w:sz w:val="20"/>
        </w:rPr>
        <w:t>Termination:</w:t>
        <w:tab/>
        <w:t>If a Triggering Event occurs with respect to either party, the other party (the "</w:t>
      </w:r>
      <w:r>
        <w:rPr>
          <w:sz w:val="20"/>
          <w:u w:val="single"/>
        </w:rPr>
        <w:t>Notifying Party</w:t>
      </w:r>
      <w:r>
        <w:rPr>
          <w:sz w:val="20"/>
        </w:rPr>
        <w:t>") may upon three days written notice to the first party establish a date on which all the GSMA will terminate ("</w:t>
      </w:r>
      <w:r>
        <w:rPr>
          <w:sz w:val="20"/>
          <w:u w:val="single"/>
        </w:rPr>
        <w:t>Early Termination Date</w:t>
      </w:r>
      <w:r>
        <w:rPr>
          <w:sz w:val="20"/>
        </w:rPr>
        <w:t>") and withhold any payments then due; provided, in respect of Triggering Event (ii) the GSMA shall automatically terminate.  The Notifying Party shall calculate its damages, including its associated costs and attorneys' fees, resulting from the termination of the GSMA (the "</w:t>
      </w:r>
      <w:r>
        <w:rPr>
          <w:sz w:val="20"/>
          <w:u w:val="single"/>
        </w:rPr>
        <w:t>Termination Payment</w:t>
      </w:r>
      <w:r>
        <w:rPr>
          <w:sz w:val="20"/>
        </w:rPr>
        <w:t>").  The Termination Payment will be determined by (i) comparing the value of (a) the remaining Period of Delivery, daily contract quantity and Contract Price under the GSMA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sz w:val="20"/>
          <w:u w:val="single"/>
        </w:rPr>
        <w:t>Triggering Event</w:t>
      </w:r>
      <w:r>
        <w:rPr>
          <w:sz w:val="20"/>
        </w:rPr>
        <w:t>" means, with respect to a party (the "</w:t>
      </w:r>
      <w:r>
        <w:rPr>
          <w:sz w:val="20"/>
          <w:u w:val="single"/>
        </w:rPr>
        <w:t>Affected Party</w:t>
      </w:r>
      <w:r>
        <w:rPr>
          <w:sz w:val="20"/>
        </w:rPr>
        <w:t>"):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w:t>
      </w:r>
    </w:p>
    <w:p>
      <w:pPr>
        <w:pStyle w:val="Normal"/>
        <w:rPr>
          <w:sz w:val="20"/>
        </w:rPr>
      </w:pPr>
      <w:r>
        <w:rPr>
          <w:sz w:val="20"/>
        </w:rPr>
      </w:r>
    </w:p>
    <w:p>
      <w:pPr>
        <w:pStyle w:val="Normal"/>
        <w:rPr>
          <w:sz w:val="20"/>
        </w:rPr>
      </w:pPr>
      <w:r>
        <w:rPr>
          <w:sz w:val="20"/>
        </w:rPr>
      </w:r>
    </w:p>
    <w:p>
      <w:pPr>
        <w:pStyle w:val="Normal"/>
        <w:jc w:val="both"/>
        <w:rPr>
          <w:b/>
        </w:rPr>
      </w:pPr>
      <w:r>
        <w:rPr>
          <w:b/>
          <w:i/>
          <w:sz w:val="20"/>
        </w:rPr>
        <w:t>This document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 Corp. (ENA), PSEG Energy Resources and Trading LLC (PSEG) or any parent or affiliate of either company.  The proposal described herein is subject to further review and approval of ENA and PSEG, appropriate due diligence and execution of definitive agreements containing all appropriate provisions</w:t>
      </w:r>
      <w:r>
        <w:rPr>
          <w:b/>
          <w:sz w:val="20"/>
        </w:rPr>
        <w:t>.</w:t>
      </w:r>
    </w:p>
    <w:p>
      <w:pPr>
        <w:pStyle w:val="BodyTextIndent"/>
        <w:ind w:hanging="0" w:end="0"/>
        <w:rPr>
          <w:b/>
          <w:sz w:val="22"/>
        </w:rPr>
      </w:pPr>
      <w:r>
        <w:rPr>
          <w:b/>
          <w:sz w:val="22"/>
        </w:rPr>
      </w:r>
    </w:p>
    <w:sectPr>
      <w:headerReference w:type="default" r:id="rId3"/>
      <w:headerReference w:type="first" r:id="rId4"/>
      <w:footerReference w:type="default" r:id="rId5"/>
      <w:type w:val="nextPage"/>
      <w:pgSz w:w="12240" w:h="15840"/>
      <w:pgMar w:left="1152" w:right="1152" w:gutter="0" w:header="720" w:top="1152" w:footer="720" w:bottom="1296"/>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/mnt/main-storage/datasets/enron-docs/doc/011101_clean.doc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Draft for Discussion Purposes Only                                                                                        Confidential</w:t>
    </w:r>
  </w:p>
  <w:p>
    <w:pPr>
      <w:pStyle w:val="Header"/>
      <w:jc w:val="center"/>
      <w:rPr>
        <w:b/>
        <w:i/>
        <w:i/>
      </w:rPr>
    </w:pPr>
    <w:r>
      <w:rPr>
        <w:b/>
        <w:i/>
      </w:rPr>
      <w:t>Appendix 1</w:t>
    </w:r>
  </w:p>
  <w:p>
    <w:pPr>
      <w:pStyle w:val="Header"/>
      <w:jc w:val="end"/>
      <w:rPr>
        <w:b/>
        <w:i/>
        <w:i/>
      </w:rPr>
    </w:pPr>
    <w:r>
      <w:rPr>
        <w:b/>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140"/>
        </w:tabs>
        <w:ind w:start="1140" w:hanging="780"/>
      </w:pPr>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ind w:hanging="0" w:start="1425" w:end="0"/>
      <w:jc w:val="both"/>
      <w:outlineLvl w:val="2"/>
    </w:pPr>
    <w:rPr>
      <w:bCs/>
      <w:i/>
      <w:iCs/>
      <w:sz w:val="20"/>
      <w:szCs w:val="20"/>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iCs/>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1425" w:start="1425" w:end="0"/>
      <w:jc w:val="both"/>
    </w:pPr>
    <w:rPr>
      <w:sz w:val="20"/>
    </w:rPr>
  </w:style>
  <w:style w:type="paragraph" w:styleId="BodyText2">
    <w:name w:val="Body Text 2"/>
    <w:basedOn w:val="Normal"/>
    <w:qFormat/>
    <w:pPr/>
    <w:rPr>
      <w:bCs/>
      <w:iCs/>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2001-01-11T12:46:00Z</dcterms:created>
  <dc:creator>sdickso</dc:creator>
  <dc:description/>
  <dc:language>en-CA</dc:language>
  <cp:lastModifiedBy>jhelton</cp:lastModifiedBy>
  <cp:lastPrinted>2001-01-11T16:56:00Z</cp:lastPrinted>
  <dcterms:modified xsi:type="dcterms:W3CDTF">2001-01-11T20:30:00Z</dcterms:modified>
  <cp:revision>6</cp:revision>
  <dc:subject/>
  <dc:title>September 8, 2000</dc:title>
</cp:coreProperties>
</file>