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SOLITAIR CORP.</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Defaults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including without limitation, the Additional Amount, in accordance with the terms and provisions hereof and the failure continues for two (2) Business Days after notice from the other party; or</w:t>
      </w:r>
    </w:p>
    <w:p>
      <w:pPr>
        <w:pStyle w:val="Normal"/>
        <w:ind w:hanging="360" w:start="108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(h)</w:t>
        <w:tab/>
        <w:t>the termination of Transaction No. VM9393.1 entered into on July 9, 2001 between Wexford Spectrum Investors LLC and ENA"</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tab/>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spacing w:before="0" w:after="120"/>
        <w:ind w:start="360" w:end="0"/>
        <w:jc w:val="both"/>
        <w:rPr>
          <w:rFonts w:ascii="Arial Narrow" w:hAnsi="Arial Narrow" w:cs="Arial Narrow"/>
          <w:b/>
          <w:sz w:val="18"/>
          <w:u w:val="single"/>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ENA, Enron Corp.’s Credit Rating is below “BBB-” by S&amp;P.</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July 16, 2001, Counterparty shall deliver to ENA Performance Assurance in the amount of $18,750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$0 (zero).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iCs/>
          <w:sz w:val="18"/>
          <w:u w:val="single"/>
        </w:rPr>
        <w:t>Transfer</w:t>
      </w:r>
      <w:r>
        <w:rPr>
          <w:rFonts w:cs="Arial Narrow" w:ascii="Arial Narrow" w:hAnsi="Arial Narrow"/>
          <w:i/>
          <w:sz w:val="18"/>
        </w:rPr>
        <w:t>"</w:t>
      </w:r>
      <w:r>
        <w:rPr>
          <w:rFonts w:cs="Arial Narrow" w:ascii="Arial Narrow" w:hAnsi="Arial Narrow"/>
          <w:sz w:val="18"/>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rPr/>
      </w:pPr>
      <w:r>
        <w:rPr/>
        <w:tab/>
        <w:t>(b)</w:t>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4.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(d) the performance by it of its obligations under this Annex will not result in the creation of any security interest, lien or other encumbrance on any property other than the security interest and lien granted pursuant to this Annex.</w:t>
      </w:r>
    </w:p>
    <w:p>
      <w:pPr>
        <w:pStyle w:val="Normal"/>
        <w:tabs>
          <w:tab w:val="left" w:pos="720" w:leader="none"/>
        </w:tabs>
        <w:spacing w:before="240" w:after="0"/>
        <w:ind w:hanging="1440" w:end="0"/>
        <w:jc w:val="both"/>
        <w:rPr/>
      </w:pPr>
      <w:r>
        <w:rPr>
          <w:rFonts w:cs="Arial Narrow" w:ascii="Arial Narrow" w:hAnsi="Arial Narrow"/>
          <w:sz w:val="18"/>
        </w:rPr>
        <w:tab/>
        <w:tab/>
        <w:t xml:space="preserve">5.  </w:t>
      </w:r>
      <w:r>
        <w:rPr>
          <w:rFonts w:cs="Arial Narrow" w:ascii="Arial Narrow" w:hAnsi="Arial Narrow"/>
          <w:sz w:val="18"/>
          <w:u w:val="single"/>
        </w:rPr>
        <w:t>Exposed Party’s Rights and Remedies</w:t>
      </w:r>
      <w:r>
        <w:rPr>
          <w:rFonts w:cs="Arial Narrow" w:ascii="Arial Narrow" w:hAnsi="Arial Narrow"/>
          <w:sz w:val="18"/>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7.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rPr>
          <w:rFonts w:ascii="Arial Narrow" w:hAnsi="Arial Narrow" w:cs="Arial Narrow"/>
          <w:sz w:val="18"/>
        </w:rPr>
      </w:pPr>
      <w:r>
        <w:rPr>
          <w:rFonts w:cs="Arial Narrow" w:ascii="Arial Narrow" w:hAnsi="Arial Narrow"/>
          <w:sz w:val="18"/>
        </w:rPr>
      </w:r>
    </w:p>
    <w:sectPr>
      <w:footerReference w:type="default" r:id="rId3"/>
      <w:footerReference w:type="first" r:id="rId4"/>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/mnt/main-storage/datasets/enron-docs/doc/010conf_solitair_.doc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/mnt/main-storage/datasets/enron-docs/doc/010conf_solitair_.doc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2001-07-13T16:49:00Z</dcterms:created>
  <dc:creator>mheard</dc:creator>
  <dc:description/>
  <dc:language>en-CA</dc:language>
  <cp:lastModifiedBy>mheard</cp:lastModifiedBy>
  <cp:lastPrinted>2001-07-13T14:21:00Z</cp:lastPrinted>
  <dcterms:modified xsi:type="dcterms:W3CDTF">2001-07-13T16:52:00Z</dcterms:modified>
  <cp:revision>3</cp:revision>
  <dc:subject/>
  <dc:title>DRAFT OF 10/15/99</dc:title>
</cp:coreProperties>
</file>