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0"/>
        </w:numPr>
        <w:spacing w:lineRule="auto" w:line="240"/>
        <w:ind w:hanging="0" w:start="0"/>
        <w:rPr/>
      </w:pPr>
      <w:r>
        <w:rPr/>
        <w:t>Discipline and sanctions</w:t>
      </w:r>
    </w:p>
    <w:p>
      <w:pPr>
        <w:pStyle w:val="Heading2"/>
        <w:numPr>
          <w:ilvl w:val="0"/>
          <w:numId w:val="0"/>
        </w:numPr>
        <w:spacing w:before="120" w:after="240"/>
        <w:ind w:hanging="360" w:start="360" w:end="0"/>
        <w:rPr/>
      </w:pPr>
      <w:r>
        <w:rPr/>
        <w:t>1</w:t>
        <w:tab/>
        <w:t>Scope</w:t>
      </w:r>
    </w:p>
    <w:p>
      <w:pPr>
        <w:pStyle w:val="normindent"/>
        <w:keepNext w:val="true"/>
        <w:numPr>
          <w:ilvl w:val="0"/>
          <w:numId w:val="0"/>
        </w:numPr>
        <w:spacing w:before="0" w:after="120"/>
        <w:ind w:hanging="0" w:start="360" w:end="0"/>
        <w:rPr/>
      </w:pPr>
      <w:r>
        <w:rPr/>
        <w:t>It is a disciplinary offence for any commitment to be given to, or engagement to be undertaken with any counterparty:</w:t>
      </w:r>
    </w:p>
    <w:p>
      <w:pPr>
        <w:pStyle w:val="NIBullet"/>
        <w:numPr>
          <w:ilvl w:val="0"/>
          <w:numId w:val="2"/>
        </w:numPr>
        <w:rPr/>
      </w:pPr>
      <w:r>
        <w:rPr/>
        <w:t>until counterparty vetting and, where applicable, credit analysis and rating and establishment of limits have been completed in accordance with the requirements of the Establishment and Maintenance of Counterparties policy, GCP 020</w:t>
        <w:noBreakHyphen/>
        <w:t>001</w:t>
      </w:r>
    </w:p>
    <w:p>
      <w:pPr>
        <w:pStyle w:val="NIBullet"/>
        <w:numPr>
          <w:ilvl w:val="0"/>
          <w:numId w:val="2"/>
        </w:numPr>
        <w:rPr/>
      </w:pPr>
      <w:r>
        <w:rPr/>
        <w:t>until any pre-conditions have been met, such as signing of master agreements or provision of security, where credit approval has been made conditional upon the completion of additional steps, unless explicitly authorised by the credit authority imposing the additional steps</w:t>
      </w:r>
    </w:p>
    <w:p>
      <w:pPr>
        <w:pStyle w:val="NIBullet"/>
        <w:numPr>
          <w:ilvl w:val="0"/>
          <w:numId w:val="2"/>
        </w:numPr>
        <w:rPr/>
      </w:pPr>
      <w:r>
        <w:rPr/>
        <w:t>on different terms from those specified in the credit approval</w:t>
      </w:r>
    </w:p>
    <w:p>
      <w:pPr>
        <w:pStyle w:val="NIBullet"/>
        <w:numPr>
          <w:ilvl w:val="0"/>
          <w:numId w:val="2"/>
        </w:numPr>
        <w:rPr/>
      </w:pPr>
      <w:r>
        <w:rPr/>
        <w:t>without prior approval from a CO or SCO, in the case of a non-vanilla trade, in accordance with the Transactions Requiring Pre-Approval policy, GMCP 010</w:t>
        <w:noBreakHyphen/>
        <w:t>002</w:t>
      </w:r>
    </w:p>
    <w:p>
      <w:pPr>
        <w:pStyle w:val="NIBullet"/>
        <w:numPr>
          <w:ilvl w:val="0"/>
          <w:numId w:val="2"/>
        </w:numPr>
        <w:rPr/>
      </w:pPr>
      <w:r>
        <w:rPr/>
        <w:t>if there is not sufficient limit, in terms of amount or tenor, to cover the trade, unless prior approval has been given by a CO (except where a GCP explicitly allows limit checking to be waived).  This applies to all applicable limits</w:t>
      </w:r>
    </w:p>
    <w:p>
      <w:pPr>
        <w:pStyle w:val="NIBullet"/>
        <w:numPr>
          <w:ilvl w:val="0"/>
          <w:numId w:val="2"/>
        </w:numPr>
        <w:rPr/>
      </w:pPr>
      <w:r>
        <w:rPr/>
        <w:t>in contravention of a “Customer Warning Message” when checking availability in the relevant risk system</w:t>
      </w:r>
    </w:p>
    <w:p>
      <w:pPr>
        <w:pStyle w:val="NIBullet"/>
        <w:numPr>
          <w:ilvl w:val="0"/>
          <w:numId w:val="2"/>
        </w:numPr>
        <w:spacing w:before="0" w:after="240"/>
        <w:rPr/>
      </w:pPr>
      <w:r>
        <w:rPr/>
        <w:t>without prior approval from an authorised CO if the commitment or engagement falls outside the criteria of any GCP, GMCP or regional credit policy.</w:t>
      </w:r>
    </w:p>
    <w:p>
      <w:pPr>
        <w:pStyle w:val="NormalIndent"/>
        <w:rPr/>
      </w:pPr>
      <w:r>
        <w:rPr/>
        <w:t>The Issuer Risk policy, GMCP 030</w:t>
        <w:noBreakHyphen/>
        <w:t>001 also sets out where credit discipline and sanctions in accordance with this policy apply.</w:t>
      </w:r>
    </w:p>
    <w:p>
      <w:pPr>
        <w:pStyle w:val="Heading2"/>
        <w:numPr>
          <w:ilvl w:val="0"/>
          <w:numId w:val="0"/>
        </w:numPr>
        <w:spacing w:before="120" w:after="240"/>
        <w:ind w:hanging="360" w:start="360" w:end="0"/>
        <w:rPr/>
      </w:pPr>
      <w:r>
        <w:rPr/>
        <w:t>2</w:t>
        <w:tab/>
        <w:t>Sanctions</w:t>
      </w:r>
    </w:p>
    <w:p>
      <w:pPr>
        <w:pStyle w:val="normindent"/>
        <w:keepNext w:val="true"/>
        <w:numPr>
          <w:ilvl w:val="0"/>
          <w:numId w:val="0"/>
        </w:numPr>
        <w:spacing w:before="0" w:after="120"/>
        <w:ind w:hanging="0" w:start="360" w:end="0"/>
        <w:rPr/>
      </w:pPr>
      <w:r>
        <w:rPr/>
        <w:t>Limit excesses and other policy violations without prior approval from the appropriate authority will result in sanctions, namely:</w:t>
      </w:r>
    </w:p>
    <w:p>
      <w:pPr>
        <w:pStyle w:val="NIBullet"/>
        <w:numPr>
          <w:ilvl w:val="0"/>
          <w:numId w:val="2"/>
        </w:numPr>
        <w:rPr/>
      </w:pPr>
      <w:r>
        <w:rPr/>
        <w:t>for a first offence, or an offence after a considerable period without any violation, the SCO may agree that it is reasonable and proportionate for the trader or marketer to receive an informal verbal warning given by his/her manager in the presence of an appropriately senior CO.  The manager must agree that, in giving this warning, specific reference will be made to the fact that any future violations will, almost without exception, result in a formal written warning and could, if severe enough, result in summary dismissal.  Informal warnings will not generally be given in the case of very substantial excesses of amount or tenor, particularly with high risk counterparties</w:t>
      </w:r>
    </w:p>
    <w:p>
      <w:pPr>
        <w:pStyle w:val="NIBullet"/>
        <w:numPr>
          <w:ilvl w:val="0"/>
          <w:numId w:val="2"/>
        </w:numPr>
        <w:rPr/>
      </w:pPr>
      <w:r>
        <w:rPr/>
        <w:t>for a second offence, or a first offence regarded as sufficiently serious by the SCO, the individual responsible will receive a formal written warning and a punitive fine may  be levied against the relevant Business Area.  The amount of the fine will be not less than any profit earned from the transaction(s) giving rise to the excess/violation.  The further allocation of this fine within the Business Area is at the discretion of the Business Area Head</w:t>
      </w:r>
    </w:p>
    <w:p>
      <w:pPr>
        <w:pStyle w:val="NIBullet"/>
        <w:numPr>
          <w:ilvl w:val="0"/>
          <w:numId w:val="2"/>
        </w:numPr>
        <w:spacing w:before="0" w:after="240"/>
        <w:rPr/>
      </w:pPr>
      <w:r>
        <w:rPr/>
        <w:t>for a third offence, or the next offence after a written warning, the individual responsible will be liable to summary dismissal.</w:t>
      </w:r>
    </w:p>
    <w:p>
      <w:pPr>
        <w:pStyle w:val="normindent"/>
        <w:numPr>
          <w:ilvl w:val="0"/>
          <w:numId w:val="0"/>
        </w:numPr>
        <w:ind w:hanging="288" w:start="648" w:end="0"/>
        <w:rPr>
          <w:b/>
          <w:u w:val="single"/>
        </w:rPr>
      </w:pPr>
      <w:r>
        <w:rPr>
          <w:b/>
          <w:u w:val="single"/>
        </w:rPr>
        <w:t>Reckless and flagrant violations of policy or limits will always result in sanctions.</w:t>
      </w:r>
    </w:p>
    <w:p>
      <w:pPr>
        <w:pStyle w:val="normindent"/>
        <w:numPr>
          <w:ilvl w:val="0"/>
          <w:numId w:val="0"/>
        </w:numPr>
        <w:ind w:hanging="0" w:start="360" w:end="0"/>
        <w:rPr/>
      </w:pPr>
      <w:r>
        <w:rPr/>
        <w:t>"Passive excesses" will not give rise to disciplinary action:  passive excesses are limit excesses which arise, not from new trades, but from increases in the value of existing transactions due to changes in underlying market rates and prices or from the depreciation of the CHF against the currency of the trades.</w:t>
      </w:r>
    </w:p>
    <w:p>
      <w:pPr>
        <w:pStyle w:val="normindent"/>
        <w:numPr>
          <w:ilvl w:val="0"/>
          <w:numId w:val="0"/>
        </w:numPr>
        <w:ind w:hanging="0" w:start="360" w:end="0"/>
        <w:rPr/>
      </w:pPr>
      <w:r>
        <w:rPr/>
        <w:t>If a dealer has taken all reasonable steps to ensure that no limit will be exceeded or policy violated, but has been frustrated by systems errors or failures, has been misled or has made a justifiable error in a complex situation, rigid discipline may be waived at the discretion of the Regional CCO.</w:t>
      </w:r>
    </w:p>
    <w:p>
      <w:pPr>
        <w:pStyle w:val="normindent"/>
        <w:numPr>
          <w:ilvl w:val="0"/>
          <w:numId w:val="0"/>
        </w:numPr>
        <w:spacing w:before="0" w:after="240"/>
        <w:ind w:hanging="0" w:start="360" w:end="0"/>
        <w:rPr/>
      </w:pPr>
      <w:r>
        <w:rPr/>
        <w:t>The Group CCO must be advised of all written warnings issued and of any dismissals as a result of credit discipline.</w:t>
      </w:r>
    </w:p>
    <w:sectPr>
      <w:headerReference w:type="default" r:id="rId2"/>
      <w:headerReference w:type="first" r:id="rId3"/>
      <w:footerReference w:type="default" r:id="rId4"/>
      <w:footerReference w:type="first" r:id="rId5"/>
      <w:type w:val="nextPage"/>
      <w:pgSz w:w="11906" w:h="16838"/>
      <w:pgMar w:left="1440" w:right="1440" w:gutter="0" w:header="706" w:top="1440" w:footer="706"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Version date: 19April, 2000</w:t>
      <w:tab/>
      <w:tab/>
      <w:t>GEB approval date: 3 February, 1999</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8420" cy="220345"/>
              <wp:effectExtent l="0" t="0" r="0" b="0"/>
              <wp:wrapSquare wrapText="bothSides"/>
              <wp:docPr id="1" name="Frame1"/>
              <a:graphic xmlns:a="http://schemas.openxmlformats.org/drawingml/2006/main">
                <a:graphicData uri="http://schemas.microsoft.com/office/word/2010/wordprocessingShape">
                  <wps:wsp>
                    <wps:cNvSpPr txBox="1"/>
                    <wps:spPr>
                      <a:xfrm>
                        <a:off x="0" y="0"/>
                        <a:ext cx="58420" cy="22034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6pt;height:17.35pt;mso-wrap-distance-left:0pt;mso-wrap-distance-right:0pt;mso-wrap-distance-top:0pt;mso-wrap-distance-bottom:0pt;margin-top:0.05pt;mso-position-vertical-relative:text;margin-left:223.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Version date: 19 April, 2000 </w:t>
      <w:tab/>
      <w:tab/>
      <w:t>GEB approval date: 3 February, 1999</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spacing w:before="0" w:after="240"/>
      <w:ind w:hanging="0" w:start="0"/>
      <w:rPr/>
    </w:pPr>
    <w:r>
      <w:rPr/>
      <w:t>UBS WARBURG</w:t>
      <w:tab/>
      <w:t>GCP 010</w:t>
      <w:noBreakHyphen/>
      <w:t>003</w:t>
      <w:br/>
    </w:r>
    <w:r>
      <w:rPr>
        <w:i/>
        <w:lang w:val="en-US"/>
      </w:rPr>
      <w:t>Status:  Valid, Approved</w:t>
    </w:r>
    <w:r>
      <w:rPr/>
      <w:tab/>
      <w:t>Discipline and Sanctions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0"/>
      </w:numPr>
      <w:spacing w:before="0" w:after="240"/>
      <w:ind w:hanging="0" w:start="0"/>
      <w:rPr/>
    </w:pPr>
    <w:r>
      <w:rPr/>
      <w:t>UBS WARBURG</w:t>
      <w:tab/>
    </w:r>
    <w:r>
      <w:rPr>
        <w:b/>
        <w:lang w:val="en-US"/>
      </w:rPr>
      <w:t xml:space="preserve">Global Credit Policy </w:t>
    </w:r>
    <w:r>
      <w:rPr>
        <w:b/>
      </w:rPr>
      <w:t>010</w:t>
      <w:noBreakHyphen/>
      <w:t>003</w:t>
      <w:br/>
    </w:r>
    <w:r>
      <w:rPr>
        <w:i/>
        <w:lang w:val="en-US"/>
      </w:rPr>
      <w:t>Status:  Valid, Approved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bullet"/>
      <w:lvlText w:val=""/>
      <w:lvlJc w:val="start"/>
      <w:pPr>
        <w:tabs>
          <w:tab w:val="num" w:pos="283"/>
        </w:tabs>
        <w:ind w:start="283" w:hanging="283"/>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keepLines/>
      <w:widowControl/>
      <w:tabs>
        <w:tab w:val="left" w:pos="360" w:leader="none"/>
        <w:tab w:val="left" w:pos="720" w:leader="none"/>
      </w:tabs>
      <w:bidi w:val="0"/>
      <w:spacing w:before="0" w:after="240"/>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Heading2"/>
    <w:qFormat/>
    <w:pPr>
      <w:keepNext w:val="true"/>
      <w:numPr>
        <w:ilvl w:val="0"/>
        <w:numId w:val="1"/>
      </w:numPr>
      <w:spacing w:lineRule="auto" w:line="300" w:before="0" w:after="120"/>
      <w:jc w:val="center"/>
      <w:outlineLvl w:val="0"/>
    </w:pPr>
    <w:rPr>
      <w:b/>
      <w:caps/>
      <w:kern w:val="2"/>
      <w:sz w:val="24"/>
    </w:rPr>
  </w:style>
  <w:style w:type="paragraph" w:styleId="Heading2">
    <w:name w:val="heading 2"/>
    <w:basedOn w:val="Normal"/>
    <w:next w:val="Heading3"/>
    <w:qFormat/>
    <w:pPr>
      <w:keepNext w:val="true"/>
      <w:numPr>
        <w:ilvl w:val="1"/>
        <w:numId w:val="1"/>
      </w:numPr>
      <w:spacing w:before="120" w:after="120"/>
      <w:ind w:hanging="360" w:start="360" w:end="0"/>
      <w:outlineLvl w:val="1"/>
    </w:pPr>
    <w:rPr>
      <w:b/>
      <w:caps/>
    </w:rPr>
  </w:style>
  <w:style w:type="paragraph" w:styleId="Heading3">
    <w:name w:val="heading 3"/>
    <w:basedOn w:val="Normal"/>
    <w:next w:val="NormalIndent"/>
    <w:qFormat/>
    <w:pPr>
      <w:keepNext w:val="true"/>
      <w:numPr>
        <w:ilvl w:val="2"/>
        <w:numId w:val="1"/>
      </w:numPr>
      <w:ind w:hanging="360" w:start="360" w:end="0"/>
      <w:outlineLvl w:val="2"/>
    </w:pPr>
    <w:rPr>
      <w:b/>
      <w:smallCaps/>
    </w:rPr>
  </w:style>
  <w:style w:type="paragraph" w:styleId="Heading4">
    <w:name w:val="heading 4"/>
    <w:basedOn w:val="Normal"/>
    <w:next w:val="Normal"/>
    <w:qFormat/>
    <w:pPr>
      <w:keepNext w:val="true"/>
      <w:numPr>
        <w:ilvl w:val="3"/>
        <w:numId w:val="1"/>
      </w:numPr>
      <w:ind w:hanging="720" w:start="720" w:end="0"/>
      <w:outlineLvl w:val="3"/>
    </w:pPr>
    <w:rPr>
      <w:smallCaps/>
    </w:rPr>
  </w:style>
  <w:style w:type="character" w:styleId="WW8Num3z0">
    <w:name w:val="WW8Num3z0"/>
    <w:qFormat/>
    <w:rPr>
      <w:rFonts w:ascii="Symbol" w:hAnsi="Symbol" w:cs="Symbol"/>
    </w:rPr>
  </w:style>
  <w:style w:type="character" w:styleId="WW8Num5z0">
    <w:name w:val="WW8Num5z0"/>
    <w:qFormat/>
    <w:rPr>
      <w:b w:val="false"/>
      <w:i w:val="false"/>
      <w:sz w:val="22"/>
    </w:rPr>
  </w:style>
  <w:style w:type="character" w:styleId="WW8NumSt1z0">
    <w:name w:val="WW8NumSt1z0"/>
    <w:qFormat/>
    <w:rPr>
      <w:rFonts w:ascii="Symbol" w:hAnsi="Symbol" w:cs="Symbol"/>
    </w:rPr>
  </w:style>
  <w:style w:type="character" w:styleId="WW8NumSt3z0">
    <w:name w:val="WW8NumSt3z0"/>
    <w:qFormat/>
    <w:rPr>
      <w:rFonts w:ascii="Symbol" w:hAnsi="Symbol" w:cs="Symbol"/>
    </w:rPr>
  </w:style>
  <w:style w:type="character" w:styleId="WW8NumSt4z0">
    <w:name w:val="WW8NumSt4z0"/>
    <w:qFormat/>
    <w:rPr>
      <w:rFonts w:ascii="Symbol" w:hAnsi="Symbol" w:cs="Symbol"/>
    </w:rPr>
  </w:style>
  <w:style w:type="character" w:styleId="WW8NumSt5z0">
    <w:name w:val="WW8NumSt5z0"/>
    <w:qFormat/>
    <w:rPr>
      <w:rFonts w:ascii="Symbol" w:hAnsi="Symbol" w:cs="Symbol"/>
    </w:rPr>
  </w:style>
  <w:style w:type="character" w:styleId="WW8NumSt6z0">
    <w:name w:val="WW8NumSt6z0"/>
    <w:qFormat/>
    <w:rPr>
      <w:rFonts w:ascii="Symbol" w:hAnsi="Symbol" w:cs="Symbol"/>
    </w:rPr>
  </w:style>
  <w:style w:type="character" w:styleId="WW8NumSt10z0">
    <w:name w:val="WW8NumSt10z0"/>
    <w:qFormat/>
    <w:rPr>
      <w:rFonts w:ascii="Symbol" w:hAnsi="Symbol" w:cs="Symbol"/>
    </w:rPr>
  </w:style>
  <w:style w:type="character" w:styleId="WW8NumSt11z0">
    <w:name w:val="WW8NumSt1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indent">
    <w:name w:val="normindent"/>
    <w:basedOn w:val="Normal"/>
    <w:qFormat/>
    <w:pPr>
      <w:ind w:hanging="0" w:start="360" w:end="0"/>
    </w:pPr>
    <w:rPr/>
  </w:style>
  <w:style w:type="paragraph" w:styleId="NormalIndent">
    <w:name w:val="Normal Indent"/>
    <w:basedOn w:val="Normal"/>
    <w:qFormat/>
    <w:pPr>
      <w:ind w:hanging="0" w:start="360" w:end="0"/>
    </w:pPr>
    <w:rPr/>
  </w:style>
  <w:style w:type="paragraph" w:styleId="HeaderandFooter">
    <w:name w:val="Header and Footer"/>
    <w:basedOn w:val="Normal"/>
    <w:qFormat/>
    <w:pPr>
      <w:suppressLineNumbers/>
      <w:tabs>
        <w:tab w:val="clear" w:pos="360"/>
        <w:tab w:val="clear" w:pos="720"/>
        <w:tab w:val="center" w:pos="4986" w:leader="none"/>
        <w:tab w:val="right" w:pos="9972" w:leader="none"/>
      </w:tabs>
    </w:pPr>
    <w:rPr/>
  </w:style>
  <w:style w:type="paragraph" w:styleId="Header">
    <w:name w:val="header"/>
    <w:basedOn w:val="Normal"/>
    <w:pPr>
      <w:pBdr>
        <w:bottom w:val="single" w:sz="6" w:space="6" w:color="000000"/>
      </w:pBdr>
      <w:tabs>
        <w:tab w:val="clear" w:pos="360"/>
        <w:tab w:val="clear" w:pos="720"/>
        <w:tab w:val="right" w:pos="9000" w:leader="none"/>
      </w:tabs>
      <w:spacing w:lineRule="auto" w:line="300"/>
    </w:pPr>
    <w:rPr/>
  </w:style>
  <w:style w:type="paragraph" w:styleId="Footer">
    <w:name w:val="footer"/>
    <w:basedOn w:val="Normal"/>
    <w:pPr>
      <w:pBdr>
        <w:top w:val="single" w:sz="6" w:space="6" w:color="000000"/>
      </w:pBdr>
      <w:tabs>
        <w:tab w:val="clear" w:pos="360"/>
        <w:tab w:val="clear" w:pos="720"/>
        <w:tab w:val="center" w:pos="4500" w:leader="none"/>
        <w:tab w:val="right" w:pos="9000" w:leader="none"/>
      </w:tabs>
      <w:spacing w:before="0" w:after="0"/>
    </w:pPr>
    <w:rPr>
      <w:sz w:val="18"/>
    </w:rPr>
  </w:style>
  <w:style w:type="paragraph" w:styleId="CommentText">
    <w:name w:val="Comment Text"/>
    <w:basedOn w:val="Normal"/>
    <w:qFormat/>
    <w:pPr/>
    <w:rPr>
      <w:sz w:val="20"/>
    </w:rPr>
  </w:style>
  <w:style w:type="paragraph" w:styleId="FootnoteText">
    <w:name w:val="footnote text"/>
    <w:basedOn w:val="Normal"/>
    <w:pPr>
      <w:spacing w:before="0" w:after="120"/>
      <w:ind w:hanging="360" w:start="360" w:end="0"/>
    </w:pPr>
    <w:rPr>
      <w:sz w:val="18"/>
    </w:rPr>
  </w:style>
  <w:style w:type="paragraph" w:styleId="Normindent1">
    <w:name w:val="Normindent1"/>
    <w:basedOn w:val="NormalIndent"/>
    <w:qFormat/>
    <w:pPr/>
    <w:rPr/>
  </w:style>
  <w:style w:type="paragraph" w:styleId="ListBullet">
    <w:name w:val="List Bullet"/>
    <w:basedOn w:val="Normal"/>
    <w:qFormat/>
    <w:pPr>
      <w:numPr>
        <w:ilvl w:val="0"/>
        <w:numId w:val="3"/>
      </w:numPr>
      <w:tabs>
        <w:tab w:val="clear" w:pos="360"/>
        <w:tab w:val="clear" w:pos="720"/>
        <w:tab w:val="left" w:pos="454" w:leader="none"/>
        <w:tab w:val="left" w:pos="737" w:leader="none"/>
      </w:tabs>
      <w:ind w:hanging="283" w:start="283" w:end="0"/>
    </w:pPr>
    <w:rPr/>
  </w:style>
  <w:style w:type="paragraph" w:styleId="normindent4">
    <w:name w:val="normindent4"/>
    <w:basedOn w:val="Normal"/>
    <w:qFormat/>
    <w:pPr>
      <w:ind w:hanging="0" w:start="720" w:end="0"/>
    </w:pPr>
    <w:rPr/>
  </w:style>
  <w:style w:type="paragraph" w:styleId="NIBullet">
    <w:name w:val="NIBullet"/>
    <w:basedOn w:val="NormalIndent"/>
    <w:qFormat/>
    <w:pPr>
      <w:numPr>
        <w:ilvl w:val="0"/>
        <w:numId w:val="4"/>
      </w:numPr>
      <w:spacing w:before="0" w:after="120"/>
      <w:ind w:hanging="36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2002-02-06T17:31:00Z</dcterms:created>
  <dc:creator>Microsoft Word User</dc:creator>
  <dc:description/>
  <dc:language>en-CA</dc:language>
  <cp:lastModifiedBy>Wendy Bannerman-Clark</cp:lastModifiedBy>
  <cp:lastPrinted>1998-11-11T18:58:00Z</cp:lastPrinted>
  <dcterms:modified xsi:type="dcterms:W3CDTF">2002-02-06T17:31:00Z</dcterms:modified>
  <cp:revision>2</cp:revision>
  <dc:subject/>
  <dc:title>CRM Policy Section II</dc:title>
</cp:coreProperties>
</file>