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pPr>
      <w:r>
        <w:rPr/>
        <w:t>UK Transmission Access</w:t>
      </w:r>
    </w:p>
    <w:p>
      <w:pPr>
        <w:pStyle w:val="Subtitle"/>
        <w:rPr/>
      </w:pPr>
      <w:r>
        <w:rPr/>
        <w:t>An Overview of Ofgem’s Initial Thoughts</w:t>
      </w:r>
    </w:p>
    <w:p>
      <w:pPr>
        <w:pStyle w:val="Subtitle"/>
        <w:rPr/>
      </w:pPr>
      <w:r>
        <w:rPr/>
        <w:t>29 May 2001</w:t>
      </w:r>
    </w:p>
    <w:p>
      <w:pPr>
        <w:pStyle w:val="Heading1"/>
        <w:ind w:hanging="0" w:start="0"/>
        <w:rPr/>
      </w:pPr>
      <w:r>
        <w:rPr/>
        <w:t>Introduction</w:t>
      </w:r>
    </w:p>
    <w:p>
      <w:pPr>
        <w:pStyle w:val="Normal"/>
        <w:rPr/>
      </w:pPr>
      <w:r>
        <w:rPr/>
        <w:t xml:space="preserve">Ofgem recently issued a consultation document </w:t>
      </w:r>
      <w:r>
        <w:rPr>
          <w:i/>
          <w:iCs/>
        </w:rPr>
        <w:t>Transmission Access and Losses under NETA</w:t>
      </w:r>
      <w:r>
        <w:rPr/>
        <w:t>, May 2001.  In this paper Ofgem highlights flaws in the existing interim arrangements for transmission losses and access under NETA, sets out objectives for new access and loss arrangements and proposes a possible way forwards.  Submissions to this consultation are due on the 4</w:t>
      </w:r>
      <w:r>
        <w:rPr>
          <w:vertAlign w:val="superscript"/>
        </w:rPr>
        <w:t>th</w:t>
      </w:r>
      <w:r>
        <w:rPr/>
        <w:t xml:space="preserve"> of July.</w:t>
      </w:r>
    </w:p>
    <w:p>
      <w:pPr>
        <w:pStyle w:val="Normal"/>
        <w:rPr/>
      </w:pPr>
      <w:r>
        <w:rPr/>
      </w:r>
    </w:p>
    <w:p>
      <w:pPr>
        <w:pStyle w:val="Normal"/>
        <w:rPr/>
      </w:pPr>
      <w:r>
        <w:rPr/>
        <w:t xml:space="preserve">Ofgem will consider submissions and issue a further paper setting out the general direction of the design of the transmission arrangements.  NGC will then lead the consultation on the design phase.  The timetable is vague, with Ofgem expecting “substantial progress on the design phase to have been made by the end of 2001”. </w:t>
      </w:r>
    </w:p>
    <w:p>
      <w:pPr>
        <w:pStyle w:val="Heading1"/>
        <w:ind w:hanging="0" w:start="0"/>
        <w:rPr/>
      </w:pPr>
      <w:r>
        <w:rPr/>
        <w:t>Objectives for Reform</w:t>
      </w:r>
    </w:p>
    <w:p>
      <w:pPr>
        <w:pStyle w:val="Normal"/>
        <w:spacing w:before="0" w:after="120"/>
        <w:rPr/>
      </w:pPr>
      <w:r>
        <w:rPr/>
        <w:t>The four main objectives of the reform to overcome deficiencies in the initial NETA arrangements are:</w:t>
      </w:r>
    </w:p>
    <w:p>
      <w:pPr>
        <w:pStyle w:val="Normal"/>
        <w:numPr>
          <w:ilvl w:val="0"/>
          <w:numId w:val="5"/>
        </w:numPr>
        <w:spacing w:before="0" w:after="120"/>
        <w:rPr/>
      </w:pPr>
      <w:r>
        <w:rPr>
          <w:i/>
          <w:iCs/>
        </w:rPr>
        <w:t>NETA related issues.</w:t>
      </w:r>
      <w:r>
        <w:rPr/>
        <w:t xml:space="preserve">  To separate the pricing of electricity from the pricing of transmission access and to ensure transparency in the actions of all participants.</w:t>
      </w:r>
    </w:p>
    <w:p>
      <w:pPr>
        <w:pStyle w:val="Normal"/>
        <w:numPr>
          <w:ilvl w:val="0"/>
          <w:numId w:val="5"/>
        </w:numPr>
        <w:spacing w:before="0" w:after="120"/>
        <w:rPr/>
      </w:pPr>
      <w:r>
        <w:rPr>
          <w:i/>
          <w:iCs/>
        </w:rPr>
        <w:t>Short and long term efficiency issues.</w:t>
      </w:r>
      <w:r>
        <w:rPr/>
        <w:t xml:space="preserve">  To establish a framework to target the costs imposed on the system by the locational patterns of generation and demand.</w:t>
      </w:r>
    </w:p>
    <w:p>
      <w:pPr>
        <w:pStyle w:val="Normal"/>
        <w:numPr>
          <w:ilvl w:val="0"/>
          <w:numId w:val="5"/>
        </w:numPr>
        <w:spacing w:before="0" w:after="120"/>
        <w:rPr/>
      </w:pPr>
      <w:r>
        <w:rPr>
          <w:i/>
          <w:iCs/>
        </w:rPr>
        <w:t>NGC investment signals and incentives.</w:t>
      </w:r>
      <w:r>
        <w:rPr/>
        <w:t xml:space="preserve">  To provide effective signals and incentives on NGC related to making transmission capacity available and appropriately investing in the transmission network.</w:t>
      </w:r>
    </w:p>
    <w:p>
      <w:pPr>
        <w:pStyle w:val="Normal"/>
        <w:numPr>
          <w:ilvl w:val="0"/>
          <w:numId w:val="5"/>
        </w:numPr>
        <w:rPr/>
      </w:pPr>
      <w:r>
        <w:rPr>
          <w:i/>
          <w:iCs/>
        </w:rPr>
        <w:t xml:space="preserve">Gas and electricity market interactions. </w:t>
      </w:r>
      <w:r>
        <w:rPr/>
        <w:t xml:space="preserve"> To provide a framework for effective and efficient interactions.</w:t>
      </w:r>
    </w:p>
    <w:p>
      <w:pPr>
        <w:pStyle w:val="Normal"/>
        <w:rPr/>
      </w:pPr>
      <w:r>
        <w:rPr/>
      </w:r>
    </w:p>
    <w:p>
      <w:pPr>
        <w:pStyle w:val="Heading1"/>
        <w:ind w:hanging="0" w:start="0"/>
        <w:rPr/>
      </w:pPr>
      <w:r>
        <w:rPr/>
        <w:t>Ofgem’s Possible Approach</w:t>
      </w:r>
    </w:p>
    <w:p>
      <w:pPr>
        <w:pStyle w:val="Normal"/>
        <w:spacing w:before="0" w:after="120"/>
        <w:rPr/>
      </w:pPr>
      <w:r>
        <w:rPr/>
        <w:t xml:space="preserve">Ofgem’s initial views on a possible approach to transmission access and losses are as follows: </w:t>
      </w:r>
    </w:p>
    <w:p>
      <w:pPr>
        <w:pStyle w:val="Normal"/>
        <w:numPr>
          <w:ilvl w:val="1"/>
          <w:numId w:val="5"/>
        </w:numPr>
        <w:tabs>
          <w:tab w:val="left" w:pos="720" w:leader="none"/>
        </w:tabs>
        <w:spacing w:before="0" w:after="120"/>
        <w:ind w:hanging="360" w:start="720" w:end="0"/>
        <w:rPr/>
      </w:pPr>
      <w:r>
        <w:rPr/>
        <w:t>A marginal losses regime based around adjusting participants’ metered volumes using estimates of average zonal loss factors with a separate financial payment or levy to reflect the difference between the full marginal loss factor and the average loss factors used to adjust metered volumes.</w:t>
      </w:r>
    </w:p>
    <w:p>
      <w:pPr>
        <w:pStyle w:val="Normal"/>
        <w:numPr>
          <w:ilvl w:val="1"/>
          <w:numId w:val="5"/>
        </w:numPr>
        <w:tabs>
          <w:tab w:val="left" w:pos="720" w:leader="none"/>
        </w:tabs>
        <w:spacing w:before="0" w:after="120"/>
        <w:ind w:hanging="360" w:start="720" w:end="0"/>
        <w:rPr/>
      </w:pPr>
      <w:r>
        <w:rPr/>
        <w:t>A transmission access regime based around a market in firm tradable access rights, involving both sides of the market but probably with separate locational definitions for entry and exit rights.</w:t>
      </w:r>
    </w:p>
    <w:p>
      <w:pPr>
        <w:pStyle w:val="Normal"/>
        <w:numPr>
          <w:ilvl w:val="1"/>
          <w:numId w:val="5"/>
        </w:numPr>
        <w:tabs>
          <w:tab w:val="left" w:pos="720" w:leader="none"/>
        </w:tabs>
        <w:spacing w:before="0" w:after="120"/>
        <w:ind w:hanging="360" w:start="720" w:end="0"/>
        <w:rPr/>
      </w:pPr>
      <w:r>
        <w:rPr/>
        <w:t>The use of auctions for entry access rights (possibly with reserve prices), with exit rights allocated in return for the payment of a locational access charge.  Rights would be allocated on a “use it or lose it” basis.</w:t>
      </w:r>
    </w:p>
    <w:p>
      <w:pPr>
        <w:pStyle w:val="Normal"/>
        <w:numPr>
          <w:ilvl w:val="1"/>
          <w:numId w:val="5"/>
        </w:numPr>
        <w:tabs>
          <w:tab w:val="left" w:pos="720" w:leader="none"/>
        </w:tabs>
        <w:spacing w:before="0" w:after="120"/>
        <w:ind w:hanging="360" w:start="720" w:end="0"/>
        <w:rPr/>
      </w:pPr>
      <w:r>
        <w:rPr/>
        <w:t>An allocation process that makes the maximum possible volume of rights available (given the transmission network) through a combination of the primary allocation mechanism and incentives on the SO to release further rights if they become available in the short term and to invest in further capacity, where efficient and economic, in the long term.</w:t>
      </w:r>
    </w:p>
    <w:p>
      <w:pPr>
        <w:pStyle w:val="Normal"/>
        <w:numPr>
          <w:ilvl w:val="1"/>
          <w:numId w:val="5"/>
        </w:numPr>
        <w:tabs>
          <w:tab w:val="left" w:pos="720" w:leader="none"/>
        </w:tabs>
        <w:spacing w:before="0" w:after="120"/>
        <w:ind w:hanging="360" w:start="720" w:end="0"/>
        <w:rPr/>
      </w:pPr>
      <w:r>
        <w:rPr/>
        <w:t>Secondary markets that develop in response to the needs of participants and the SO, recognising that this may involve some degree of SO facilitation.  These markets would remain open after Gate Closure to allow participants to acquire access rights to back their BM bids and offers.</w:t>
      </w:r>
    </w:p>
    <w:p>
      <w:pPr>
        <w:pStyle w:val="Normal"/>
        <w:numPr>
          <w:ilvl w:val="1"/>
          <w:numId w:val="5"/>
        </w:numPr>
        <w:tabs>
          <w:tab w:val="left" w:pos="720" w:leader="none"/>
        </w:tabs>
        <w:spacing w:before="0" w:after="120"/>
        <w:ind w:hanging="360" w:start="720" w:end="0"/>
        <w:rPr/>
      </w:pPr>
      <w:r>
        <w:rPr/>
        <w:t>All participants facing imbalance charges of some form that maintain the ‘ticket to ride’ principle and ensure that they purchase firm rights before using the system.</w:t>
      </w:r>
    </w:p>
    <w:p>
      <w:pPr>
        <w:pStyle w:val="Normal"/>
        <w:numPr>
          <w:ilvl w:val="1"/>
          <w:numId w:val="5"/>
        </w:numPr>
        <w:tabs>
          <w:tab w:val="left" w:pos="720" w:leader="none"/>
        </w:tabs>
        <w:ind w:hanging="360" w:start="720" w:end="0"/>
        <w:rPr/>
      </w:pPr>
      <w:r>
        <w:rPr/>
        <w:t>Locational over and under-run charges related to the costs incurred by the SO in resolving transmission constraints through the secondary trading of access rights.  Participants who had paid to acquire rights should face an over-run charge whilst those who had been paid to take rights (or to be interrupted) should face under-run charges for failing to deliver the agreed service.</w:t>
      </w:r>
    </w:p>
    <w:p>
      <w:pPr>
        <w:pStyle w:val="Heading1"/>
        <w:ind w:hanging="0" w:start="0"/>
        <w:rPr/>
      </w:pPr>
      <w:r>
        <w:rPr/>
        <w:t>Other Issues</w:t>
      </w:r>
    </w:p>
    <w:p>
      <w:pPr>
        <w:pStyle w:val="Normal"/>
        <w:spacing w:before="0" w:after="120"/>
        <w:rPr/>
      </w:pPr>
      <w:r>
        <w:rPr/>
        <w:t>Ofgem raises several other related issues in its consultation paper, namely:</w:t>
      </w:r>
    </w:p>
    <w:p>
      <w:pPr>
        <w:pStyle w:val="Normal"/>
        <w:numPr>
          <w:ilvl w:val="0"/>
          <w:numId w:val="2"/>
        </w:numPr>
        <w:spacing w:before="0" w:after="120"/>
        <w:rPr/>
      </w:pPr>
      <w:r>
        <w:rPr/>
        <w:t>TNUOS charges may need to be changed in light of the reforms.  In particular it may be necessary to (1) remove or reduce the locational differentiation in TNUOS charges, (2) rebate to participants surpluses that accrue to the system operator by way of loss or congestion charges, and (3) change the pricing element of TNUOS charges from MW usage at peak times to MWh usage.</w:t>
      </w:r>
    </w:p>
    <w:p>
      <w:pPr>
        <w:pStyle w:val="Normal"/>
        <w:numPr>
          <w:ilvl w:val="0"/>
          <w:numId w:val="2"/>
        </w:numPr>
        <w:spacing w:before="0" w:after="120"/>
        <w:rPr/>
      </w:pPr>
      <w:r>
        <w:rPr/>
        <w:t>NGC’s price control and the new transmission arrangements need to give NGC consistent incentives for investment and operation of the transmission system.</w:t>
      </w:r>
    </w:p>
    <w:p>
      <w:pPr>
        <w:pStyle w:val="Normal"/>
        <w:numPr>
          <w:ilvl w:val="0"/>
          <w:numId w:val="2"/>
        </w:numPr>
        <w:rPr/>
      </w:pPr>
      <w:r>
        <w:rPr/>
        <w:t>The reforms must take into account the development of the British Electricity Trading and Transmission Arrangements (BETTA), due to come into effect in April 2002.</w:t>
      </w:r>
    </w:p>
    <w:p>
      <w:pPr>
        <w:pStyle w:val="Normal"/>
        <w:ind w:start="360" w:end="0"/>
        <w:rPr/>
      </w:pPr>
      <w:r>
        <w:rPr/>
      </w:r>
    </w:p>
    <w:p>
      <w:pPr>
        <w:pStyle w:val="Normal"/>
        <w:rPr/>
      </w:pPr>
      <w:r>
        <w:rPr/>
        <w:t>An issue overlooked by Ofgem is the treatment of participants’ existing transmission rights.  The new arrangements will result in a significant redistribution of wealth between market participants unless Ofgem mitigates this – either financially or through initial allocation of rights.</w:t>
      </w:r>
    </w:p>
    <w:sectPr>
      <w:headerReference w:type="default" r:id="rId2"/>
      <w:footerReference w:type="default" r:id="rId3"/>
      <w:type w:val="nextPage"/>
      <w:pgSz w:w="11906" w:h="16838"/>
      <w:pgMar w:left="1134" w:right="1134" w:gutter="0" w:header="624" w:top="907" w:footer="624"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CG Omeg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Style w:val="PageNumber"/>
        <w:b w:val="false"/>
        <w:sz w:val="10"/>
      </w:rPr>
    </w:pPr>
    <w:r>
      <w:rPr/>
    </w:r>
  </w:p>
  <w:p>
    <w:pPr>
      <w:pStyle w:val="Footer"/>
      <w:jc w:val="center"/>
      <w:rPr>
        <w:rStyle w:val="PageNumber"/>
        <w:b w:val="false"/>
        <w:sz w:val="16"/>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560705" cy="5575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560705" cy="557530"/>
                  </a:xfrm>
                  <a:prstGeom prst="rect">
                    <a:avLst/>
                  </a:prstGeom>
                  <a:noFill/>
                </pic:spPr>
              </pic:pic>
            </a:graphicData>
          </a:graphic>
        </wp:inline>
      </w:drawing>
    </w:r>
  </w:p>
  <w:p>
    <w:pPr>
      <w:pStyle w:val="Header"/>
      <w:rPr>
        <w:sz w:val="12"/>
      </w:rPr>
    </w:pPr>
    <w:r>
      <w:rPr>
        <w:sz w:val="12"/>
      </w:rPr>
    </w:r>
  </w:p>
  <w:p>
    <w:pPr>
      <w:pStyle w:val="Header"/>
      <w:pBdr>
        <w:top w:val="single" w:sz="4" w:space="1" w:color="000000"/>
      </w:pBd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decimal"/>
      <w:lvlText w:val="%1"/>
      <w:lvlJc w:val="start"/>
      <w:pPr>
        <w:tabs>
          <w:tab w:val="num" w:pos="432"/>
        </w:tabs>
        <w:ind w:start="432" w:hanging="432"/>
      </w:pPr>
    </w:lvl>
    <w:lvl w:ilvl="1">
      <w:start w:val="1"/>
      <w:pStyle w:val="Heading2"/>
      <w:isLgl/>
      <w:numFmt w:val="decimal"/>
      <w:lvlText w:val="%1.%2"/>
      <w:lvlJc w:val="start"/>
      <w:pPr>
        <w:tabs>
          <w:tab w:val="num" w:pos="576"/>
        </w:tabs>
        <w:ind w:start="576" w:hanging="576"/>
      </w:pPr>
      <w:rPr>
        <w:sz w:val="26"/>
        <w:i w:val="false"/>
        <w:b/>
        <w:rFonts w:ascii="Book Antiqua" w:hAnsi="Book Antiqua" w:cs="Book Antiqua"/>
      </w:rPr>
    </w:lvl>
    <w:lvl w:ilvl="2">
      <w:start w:val="1"/>
      <w:pStyle w:val="Heading3"/>
      <w:isLgl/>
      <w:numFmt w:val="decimal"/>
      <w:lvlText w:val="%1.%2.%3"/>
      <w:lvlJc w:val="start"/>
      <w:pPr>
        <w:tabs>
          <w:tab w:val="num" w:pos="720"/>
        </w:tabs>
        <w:ind w:start="720" w:hanging="720"/>
      </w:pPr>
      <w:rPr>
        <w:sz w:val="24"/>
      </w:rPr>
    </w:lvl>
    <w:lvl w:ilvl="3">
      <w:start w:val="1"/>
      <w:pStyle w:val="Heading4"/>
      <w:isLgl/>
      <w:numFmt w:val="decimal"/>
      <w:lvlText w:val="%1.%2.%3.%4"/>
      <w:lvlJc w:val="start"/>
      <w:pPr>
        <w:tabs>
          <w:tab w:val="num" w:pos="1080"/>
        </w:tabs>
        <w:ind w:start="864" w:hanging="864"/>
      </w:pPr>
    </w:lvl>
    <w:lvl w:ilvl="4">
      <w:start w:val="1"/>
      <w:pStyle w:val="Heading5"/>
      <w:isLgl/>
      <w:numFmt w:val="decimal"/>
      <w:lvlText w:val="%1.%2.%3.%4.%5"/>
      <w:lvlJc w:val="start"/>
      <w:pPr>
        <w:tabs>
          <w:tab w:val="num" w:pos="1440"/>
        </w:tabs>
        <w:ind w:start="1008" w:hanging="1008"/>
      </w:pPr>
    </w:lvl>
    <w:lvl w:ilvl="5">
      <w:start w:val="1"/>
      <w:pStyle w:val="Heading6"/>
      <w:numFmt w:val="decimal"/>
      <w:lvlText w:val="%1.%2.%3.%4.%5.%6"/>
      <w:lvlJc w:val="start"/>
      <w:pPr>
        <w:tabs>
          <w:tab w:val="num" w:pos="1800"/>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440"/>
        </w:tabs>
        <w:ind w:start="1440" w:hanging="720"/>
      </w:pPr>
      <w:rPr>
        <w:rFonts w:ascii="Symbol" w:hAnsi="Symbol" w:cs="Symbol" w:hint="default"/>
      </w:rPr>
    </w:lvl>
  </w:abstractNum>
  <w:abstractNum w:abstractNumId="4">
    <w:lvl w:ilvl="0">
      <w:start w:val="2"/>
      <w:numFmt w:val="decimal"/>
      <w:lvlText w:val="%1"/>
      <w:lvlJc w:val="start"/>
      <w:pPr>
        <w:tabs>
          <w:tab w:val="num" w:pos="450"/>
        </w:tabs>
        <w:ind w:start="450" w:hanging="450"/>
      </w:pPr>
      <w:rPr>
        <w:i/>
      </w:rPr>
    </w:lvl>
    <w:lvl w:ilvl="1">
      <w:start w:val="1"/>
      <w:numFmt w:val="decimal"/>
      <w:lvlText w:val="%1.%2"/>
      <w:lvlJc w:val="start"/>
      <w:pPr>
        <w:tabs>
          <w:tab w:val="num" w:pos="450"/>
        </w:tabs>
        <w:ind w:start="450" w:hanging="450"/>
      </w:pPr>
      <w:rPr>
        <w:i/>
      </w:rPr>
    </w:lvl>
    <w:lvl w:ilvl="2">
      <w:start w:val="3"/>
      <w:numFmt w:val="decimal"/>
      <w:lvlText w:val="%1.%2.%3"/>
      <w:lvlJc w:val="start"/>
      <w:pPr>
        <w:tabs>
          <w:tab w:val="num" w:pos="720"/>
        </w:tabs>
        <w:ind w:start="720" w:hanging="720"/>
      </w:pPr>
      <w:rPr>
        <w:i/>
      </w:rPr>
    </w:lvl>
    <w:lvl w:ilvl="3">
      <w:start w:val="1"/>
      <w:numFmt w:val="decimal"/>
      <w:lvlText w:val="%1.%2.%3.%4"/>
      <w:lvlJc w:val="start"/>
      <w:pPr>
        <w:tabs>
          <w:tab w:val="num" w:pos="720"/>
        </w:tabs>
        <w:ind w:start="720" w:hanging="720"/>
      </w:pPr>
      <w:rPr>
        <w:i/>
      </w:rPr>
    </w:lvl>
    <w:lvl w:ilvl="4">
      <w:start w:val="1"/>
      <w:numFmt w:val="decimal"/>
      <w:lvlText w:val="%1.%2.%3.%4.%5"/>
      <w:lvlJc w:val="start"/>
      <w:pPr>
        <w:tabs>
          <w:tab w:val="num" w:pos="1080"/>
        </w:tabs>
        <w:ind w:start="1080" w:hanging="1080"/>
      </w:pPr>
      <w:rPr>
        <w:i/>
      </w:rPr>
    </w:lvl>
    <w:lvl w:ilvl="5">
      <w:start w:val="1"/>
      <w:numFmt w:val="decimal"/>
      <w:lvlText w:val="%1.%2.%3.%4.%5.%6"/>
      <w:lvlJc w:val="start"/>
      <w:pPr>
        <w:tabs>
          <w:tab w:val="num" w:pos="1440"/>
        </w:tabs>
        <w:ind w:start="1440" w:hanging="1440"/>
      </w:pPr>
      <w:rPr>
        <w:i/>
      </w:rPr>
    </w:lvl>
    <w:lvl w:ilvl="6">
      <w:start w:val="1"/>
      <w:numFmt w:val="decimal"/>
      <w:lvlText w:val="%1.%2.%3.%4.%5.%6.%7"/>
      <w:lvlJc w:val="start"/>
      <w:pPr>
        <w:tabs>
          <w:tab w:val="num" w:pos="1440"/>
        </w:tabs>
        <w:ind w:start="1440" w:hanging="1440"/>
      </w:pPr>
      <w:rPr>
        <w:i/>
      </w:rPr>
    </w:lvl>
    <w:lvl w:ilvl="7">
      <w:start w:val="1"/>
      <w:numFmt w:val="decimal"/>
      <w:lvlText w:val="%1.%2.%3.%4.%5.%6.%7.%8"/>
      <w:lvlJc w:val="start"/>
      <w:pPr>
        <w:tabs>
          <w:tab w:val="num" w:pos="1800"/>
        </w:tabs>
        <w:ind w:start="1800" w:hanging="1800"/>
      </w:pPr>
      <w:rPr>
        <w:i/>
      </w:rPr>
    </w:lvl>
    <w:lvl w:ilvl="8">
      <w:start w:val="1"/>
      <w:numFmt w:val="decimal"/>
      <w:lvlText w:val="%1.%2.%3.%4.%5.%6.%7.%8.%9"/>
      <w:lvlJc w:val="start"/>
      <w:pPr>
        <w:tabs>
          <w:tab w:val="num" w:pos="1800"/>
        </w:tabs>
        <w:ind w:start="1800" w:hanging="1800"/>
      </w:pPr>
      <w:rPr>
        <w:i/>
      </w:r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4"/>
      <w:jc w:val="both"/>
    </w:pPr>
    <w:rPr>
      <w:rFonts w:ascii="Book Antiqua" w:hAnsi="Book Antiqua" w:eastAsia="Times New Roman" w:cs="Book Antiqua"/>
      <w:color w:val="auto"/>
      <w:sz w:val="22"/>
      <w:szCs w:val="20"/>
      <w:lang w:val="en-GB" w:bidi="ar-SA" w:eastAsia="zh-CN"/>
    </w:rPr>
  </w:style>
  <w:style w:type="paragraph" w:styleId="Heading1">
    <w:name w:val="heading 1"/>
    <w:basedOn w:val="Normal"/>
    <w:next w:val="Normal"/>
    <w:qFormat/>
    <w:pPr>
      <w:keepNext w:val="true"/>
      <w:numPr>
        <w:ilvl w:val="0"/>
        <w:numId w:val="1"/>
      </w:numPr>
      <w:spacing w:lineRule="atLeast" w:line="271" w:before="240" w:after="60"/>
      <w:outlineLvl w:val="0"/>
    </w:pPr>
    <w:rPr>
      <w:b/>
      <w:smallCaps/>
      <w:sz w:val="28"/>
    </w:rPr>
  </w:style>
  <w:style w:type="paragraph" w:styleId="Heading2">
    <w:name w:val="heading 2"/>
    <w:basedOn w:val="Normal"/>
    <w:next w:val="Normal"/>
    <w:qFormat/>
    <w:pPr>
      <w:keepNext w:val="true"/>
      <w:numPr>
        <w:ilvl w:val="1"/>
        <w:numId w:val="1"/>
      </w:numPr>
      <w:tabs>
        <w:tab w:val="left" w:pos="720" w:leader="none"/>
      </w:tabs>
      <w:spacing w:lineRule="atLeast" w:line="271" w:before="240" w:after="60"/>
      <w:outlineLvl w:val="1"/>
    </w:pPr>
    <w:rPr>
      <w:b/>
      <w:sz w:val="26"/>
    </w:rPr>
  </w:style>
  <w:style w:type="paragraph" w:styleId="Heading3">
    <w:name w:val="heading 3"/>
    <w:basedOn w:val="Heading2"/>
    <w:next w:val="Normal"/>
    <w:qFormat/>
    <w:pPr>
      <w:numPr>
        <w:ilvl w:val="2"/>
        <w:numId w:val="1"/>
      </w:numPr>
      <w:outlineLvl w:val="2"/>
    </w:pPr>
    <w:rPr>
      <w:sz w:val="24"/>
    </w:rPr>
  </w:style>
  <w:style w:type="paragraph" w:styleId="Heading4">
    <w:name w:val="heading 4"/>
    <w:basedOn w:val="Normal"/>
    <w:next w:val="Normal"/>
    <w:qFormat/>
    <w:pPr>
      <w:keepNext w:val="true"/>
      <w:numPr>
        <w:ilvl w:val="3"/>
        <w:numId w:val="1"/>
      </w:numPr>
      <w:spacing w:lineRule="atLeast" w:line="271" w:before="240" w:after="60"/>
      <w:outlineLvl w:val="3"/>
    </w:pPr>
    <w:rPr>
      <w:rFonts w:ascii="Book Antiqua" w:hAnsi="Book Antiqua" w:cs="Book Antiqua"/>
      <w:b/>
      <w:sz w:val="24"/>
    </w:rPr>
  </w:style>
  <w:style w:type="paragraph" w:styleId="Heading5">
    <w:name w:val="heading 5"/>
    <w:basedOn w:val="Normal"/>
    <w:next w:val="Normal"/>
    <w:qFormat/>
    <w:pPr>
      <w:numPr>
        <w:ilvl w:val="4"/>
        <w:numId w:val="1"/>
      </w:numPr>
      <w:spacing w:lineRule="atLeast" w:line="271" w:before="240" w:after="60"/>
      <w:outlineLvl w:val="4"/>
    </w:pPr>
    <w:rPr>
      <w:rFonts w:ascii="Book Antiqua" w:hAnsi="Book Antiqua" w:cs="Book Antiqua"/>
      <w:b/>
      <w:sz w:val="22"/>
    </w:rPr>
  </w:style>
  <w:style w:type="paragraph" w:styleId="Heading6">
    <w:name w:val="heading 6"/>
    <w:basedOn w:val="Normal"/>
    <w:next w:val="Normal"/>
    <w:qFormat/>
    <w:pPr>
      <w:numPr>
        <w:ilvl w:val="5"/>
        <w:numId w:val="1"/>
      </w:numPr>
      <w:tabs>
        <w:tab w:val="clear" w:pos="720"/>
        <w:tab w:val="left" w:pos="0" w:leader="none"/>
      </w:tabs>
      <w:spacing w:lineRule="atLeast" w:line="271" w:before="240" w:after="60"/>
      <w:outlineLvl w:val="5"/>
    </w:pPr>
    <w:rPr>
      <w:rFonts w:ascii="Book Antiqua" w:hAnsi="Book Antiqua" w:cs="Book Antiqua"/>
      <w:i/>
      <w:sz w:val="22"/>
    </w:rPr>
  </w:style>
  <w:style w:type="paragraph" w:styleId="Heading7">
    <w:name w:val="heading 7"/>
    <w:basedOn w:val="Normal"/>
    <w:next w:val="Normal"/>
    <w:qFormat/>
    <w:pPr>
      <w:numPr>
        <w:ilvl w:val="6"/>
        <w:numId w:val="1"/>
      </w:numPr>
      <w:tabs>
        <w:tab w:val="clear" w:pos="720"/>
        <w:tab w:val="left" w:pos="1800" w:leader="none"/>
      </w:tabs>
      <w:spacing w:lineRule="atLeast" w:line="271" w:before="240" w:after="60"/>
      <w:outlineLvl w:val="6"/>
    </w:pPr>
    <w:rPr>
      <w:rFonts w:ascii="Arial" w:hAnsi="Arial" w:cs="Arial"/>
      <w:sz w:val="22"/>
    </w:rPr>
  </w:style>
  <w:style w:type="paragraph" w:styleId="Heading8">
    <w:name w:val="heading 8"/>
    <w:basedOn w:val="Normal"/>
    <w:next w:val="Normal"/>
    <w:qFormat/>
    <w:pPr>
      <w:numPr>
        <w:ilvl w:val="7"/>
        <w:numId w:val="1"/>
      </w:numPr>
      <w:tabs>
        <w:tab w:val="clear" w:pos="720"/>
        <w:tab w:val="left" w:pos="0" w:leader="none"/>
      </w:tabs>
      <w:spacing w:lineRule="atLeast" w:line="271" w:before="240" w:after="60"/>
      <w:outlineLvl w:val="7"/>
    </w:pPr>
    <w:rPr>
      <w:rFonts w:ascii="Arial" w:hAnsi="Arial" w:cs="Arial"/>
      <w:i/>
      <w:sz w:val="22"/>
    </w:rPr>
  </w:style>
  <w:style w:type="paragraph" w:styleId="Heading9">
    <w:name w:val="heading 9"/>
    <w:basedOn w:val="Normal"/>
    <w:next w:val="Normal"/>
    <w:qFormat/>
    <w:pPr>
      <w:numPr>
        <w:ilvl w:val="8"/>
        <w:numId w:val="1"/>
      </w:numPr>
      <w:tabs>
        <w:tab w:val="clear" w:pos="720"/>
        <w:tab w:val="left" w:pos="0" w:leader="none"/>
      </w:tabs>
      <w:spacing w:lineRule="atLeast" w:line="271"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Book Antiqua" w:hAnsi="Book Antiqua" w:cs="Book Antiqua"/>
      <w:b/>
      <w:i w:val="false"/>
      <w:outline w:val="false"/>
      <w:shadow w:val="false"/>
      <w:color w:val="auto"/>
      <w:sz w:val="28"/>
    </w:rPr>
  </w:style>
  <w:style w:type="character" w:styleId="WW8Num3z1">
    <w:name w:val="WW8Num3z1"/>
    <w:qFormat/>
    <w:rPr>
      <w:rFonts w:ascii="Book Antiqua" w:hAnsi="Book Antiqua" w:cs="Book Antiqua"/>
      <w:b/>
      <w:i w:val="false"/>
      <w:shadow w:val="false"/>
      <w:color w:val="auto"/>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Book Antiqua" w:hAnsi="Book Antiqua" w:cs="Book Antiqua"/>
      <w:b/>
      <w:i w:val="false"/>
      <w:sz w:val="28"/>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u w:val="none"/>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Book Antiqua" w:hAnsi="Book Antiqua" w:cs="Book Antiqua"/>
      <w:b/>
      <w:i w:val="false"/>
      <w:outline w:val="false"/>
      <w:shadow w:val="false"/>
      <w:color w:val="auto"/>
      <w:sz w:val="28"/>
    </w:rPr>
  </w:style>
  <w:style w:type="character" w:styleId="WW8Num51z1">
    <w:name w:val="WW8Num51z1"/>
    <w:qFormat/>
    <w:rPr>
      <w:rFonts w:ascii="Book Antiqua" w:hAnsi="Book Antiqua" w:cs="Book Antiqua"/>
      <w:b/>
      <w:i w:val="false"/>
      <w:shadow w:val="false"/>
      <w:color w:val="auto"/>
      <w:sz w:val="24"/>
    </w:rPr>
  </w:style>
  <w:style w:type="character" w:styleId="WW8Num52z0">
    <w:name w:val="WW8Num52z0"/>
    <w:qFormat/>
    <w:rPr>
      <w:rFonts w:ascii="Symbol" w:hAnsi="Symbol" w:cs="Symbol"/>
    </w:rPr>
  </w:style>
  <w:style w:type="character" w:styleId="WW8Num53z0">
    <w:name w:val="WW8Num53z0"/>
    <w:qFormat/>
    <w:rPr>
      <w:rFonts w:ascii="Symbol" w:hAnsi="Symbol" w:cs="Times New Roman"/>
    </w:rPr>
  </w:style>
  <w:style w:type="character" w:styleId="WW8Num54z1">
    <w:name w:val="WW8Num54z1"/>
    <w:qFormat/>
    <w:rPr>
      <w:rFonts w:ascii="Book Antiqua" w:hAnsi="Book Antiqua" w:cs="Book Antiqua"/>
      <w:b/>
      <w:i w:val="false"/>
      <w:sz w:val="26"/>
    </w:rPr>
  </w:style>
  <w:style w:type="character" w:styleId="WW8Num54z2">
    <w:name w:val="WW8Num54z2"/>
    <w:qFormat/>
    <w:rPr>
      <w:sz w:val="24"/>
    </w:rPr>
  </w:style>
  <w:style w:type="character" w:styleId="WW8Num55z0">
    <w:name w:val="WW8Num55z0"/>
    <w:qFormat/>
    <w:rPr>
      <w:rFonts w:ascii="Symbol" w:hAnsi="Symbol" w:cs="Symbol"/>
    </w:rPr>
  </w:style>
  <w:style w:type="character" w:styleId="WW8Num56z0">
    <w:name w:val="WW8Num56z0"/>
    <w:qFormat/>
    <w:rPr>
      <w:i/>
    </w:rPr>
  </w:style>
  <w:style w:type="character" w:styleId="WW8Num57z0">
    <w:name w:val="WW8Num57z0"/>
    <w:qForma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Book Antiqua" w:hAnsi="Book Antiqua" w:cs="Book Antiqua"/>
      <w:b/>
      <w:i w:val="false"/>
      <w:caps/>
      <w:sz w:val="28"/>
    </w:rPr>
  </w:style>
  <w:style w:type="character" w:styleId="WW8Num63z1">
    <w:name w:val="WW8Num63z1"/>
    <w:qFormat/>
    <w:rPr>
      <w:rFonts w:ascii="Book Antiqua" w:hAnsi="Book Antiqua" w:cs="Book Antiqua"/>
      <w:b/>
      <w:i w:val="false"/>
      <w:shadow w:val="false"/>
      <w:color w:val="auto"/>
      <w:sz w:val="28"/>
    </w:rPr>
  </w:style>
  <w:style w:type="character" w:styleId="WW8Num63z2">
    <w:name w:val="WW8Num63z2"/>
    <w:qFormat/>
    <w:rPr>
      <w:rFonts w:ascii="Book Antiqua" w:hAnsi="Book Antiqua" w:cs="Book Antiqua"/>
      <w:b/>
      <w:i w:val="false"/>
      <w:sz w:val="24"/>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Book Antiqua" w:hAnsi="Book Antiqua" w:cs="Book Antiqua"/>
      <w:b/>
      <w:i w:val="false"/>
      <w:sz w:val="28"/>
    </w:rPr>
  </w:style>
  <w:style w:type="character" w:styleId="WW8Num71z1">
    <w:name w:val="WW8Num71z1"/>
    <w:qFormat/>
    <w:rPr>
      <w:rFonts w:ascii="Book Antiqua" w:hAnsi="Book Antiqua" w:cs="Book Antiqua"/>
      <w:b/>
      <w:i w:val="false"/>
      <w:sz w:val="24"/>
    </w:rPr>
  </w:style>
  <w:style w:type="character" w:styleId="WW8Num71z2">
    <w:name w:val="WW8Num71z2"/>
    <w:qFormat/>
    <w:rPr>
      <w:rFonts w:ascii="Book Antiqua" w:hAnsi="Book Antiqua" w:cs="Book Antiqua"/>
      <w:b w:val="false"/>
      <w:i/>
      <w:sz w:val="24"/>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Book Antiqua" w:hAnsi="Book Antiqua" w:cs="Book Antiqua"/>
      <w:b/>
      <w:i w:val="false"/>
      <w:outline w:val="false"/>
      <w:shadow w:val="false"/>
      <w:color w:val="auto"/>
      <w:sz w:val="28"/>
    </w:rPr>
  </w:style>
  <w:style w:type="character" w:styleId="WW8Num80z1">
    <w:name w:val="WW8Num80z1"/>
    <w:qFormat/>
    <w:rPr>
      <w:rFonts w:ascii="Book Antiqua" w:hAnsi="Book Antiqua" w:cs="Book Antiqua"/>
      <w:b/>
      <w:i w:val="false"/>
      <w:shadow w:val="false"/>
      <w:color w:val="auto"/>
      <w:sz w:val="24"/>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Book Antiqua" w:hAnsi="Book Antiqua" w:cs="Book Antiqua"/>
      <w:b/>
      <w:i w:val="false"/>
      <w:caps/>
      <w:sz w:val="28"/>
    </w:rPr>
  </w:style>
  <w:style w:type="character" w:styleId="WW8Num96z1">
    <w:name w:val="WW8Num96z1"/>
    <w:qFormat/>
    <w:rPr>
      <w:rFonts w:ascii="Book Antiqua" w:hAnsi="Book Antiqua" w:cs="Book Antiqua"/>
      <w:b/>
      <w:i w:val="false"/>
      <w:shadow w:val="false"/>
      <w:color w:val="auto"/>
      <w:sz w:val="28"/>
    </w:rPr>
  </w:style>
  <w:style w:type="character" w:styleId="WW8Num96z2">
    <w:name w:val="WW8Num96z2"/>
    <w:qFormat/>
    <w:rPr>
      <w:rFonts w:ascii="Book Antiqua" w:hAnsi="Book Antiqua" w:cs="Book Antiqua"/>
      <w:b/>
      <w:i w:val="false"/>
      <w:sz w:val="24"/>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7z4">
    <w:name w:val="WW8Num97z4"/>
    <w:qFormat/>
    <w:rPr>
      <w:rFonts w:ascii="Courier New" w:hAnsi="Courier New" w:cs="Courier New"/>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Book Antiqua" w:hAnsi="Book Antiqua" w:cs="Book Antiqua"/>
      <w:b/>
      <w:i w:val="false"/>
      <w:caps/>
      <w:sz w:val="28"/>
    </w:rPr>
  </w:style>
  <w:style w:type="character" w:styleId="WW8Num108z1">
    <w:name w:val="WW8Num108z1"/>
    <w:qFormat/>
    <w:rPr>
      <w:rFonts w:ascii="Book Antiqua" w:hAnsi="Book Antiqua" w:cs="Book Antiqua"/>
      <w:b/>
      <w:i w:val="false"/>
      <w:shadow w:val="false"/>
      <w:color w:val="auto"/>
      <w:sz w:val="28"/>
    </w:rPr>
  </w:style>
  <w:style w:type="character" w:styleId="WW8Num108z2">
    <w:name w:val="WW8Num108z2"/>
    <w:qFormat/>
    <w:rPr>
      <w:rFonts w:ascii="Book Antiqua" w:hAnsi="Book Antiqua" w:cs="Book Antiqua"/>
      <w:b/>
      <w:i w:val="false"/>
      <w:sz w:val="24"/>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1">
    <w:name w:val="WW8Num111z1"/>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6z1">
    <w:name w:val="WW8Num116z1"/>
    <w:qFormat/>
    <w:rPr>
      <w:rFonts w:ascii="Courier New" w:hAnsi="Courier New" w:cs="Courier New"/>
    </w:rPr>
  </w:style>
  <w:style w:type="character" w:styleId="WW8Num116z3">
    <w:name w:val="WW8Num11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Book Antiqua" w:hAnsi="Book Antiqua" w:cs="Book Antiqua"/>
      <w:b/>
      <w:sz w:val="22"/>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before="240" w:after="60"/>
      <w:jc w:val="center"/>
    </w:pPr>
    <w:rPr>
      <w:rFonts w:ascii="Book Antiqua" w:hAnsi="Book Antiqua" w:cs="Book Antiqua"/>
      <w:b/>
      <w:caps/>
      <w:sz w:val="28"/>
    </w:rPr>
  </w:style>
  <w:style w:type="paragraph" w:styleId="BodyText">
    <w:name w:val="Body Text"/>
    <w:basedOn w:val="Normal"/>
    <w:pPr/>
    <w:rPr>
      <w:rFonts w:ascii="Book Antiqua" w:hAnsi="Book Antiqua" w:cs="Book Antiqu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tLeast" w:line="271"/>
      <w:jc w:val="both"/>
    </w:pPr>
    <w:rPr>
      <w:rFonts w:ascii="Book Antiqua" w:hAnsi="Book Antiqua" w:cs="Book Antiqua"/>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lineRule="atLeast" w:line="271"/>
      <w:jc w:val="both"/>
    </w:pPr>
    <w:rPr>
      <w:rFonts w:ascii="Book Antiqua" w:hAnsi="Book Antiqua" w:cs="Book Antiqua"/>
      <w:sz w:val="22"/>
    </w:rPr>
  </w:style>
  <w:style w:type="paragraph" w:styleId="Footer">
    <w:name w:val="footer"/>
    <w:basedOn w:val="Normal"/>
    <w:pPr>
      <w:tabs>
        <w:tab w:val="clear" w:pos="720"/>
        <w:tab w:val="center" w:pos="4153" w:leader="none"/>
        <w:tab w:val="right" w:pos="8306" w:leader="none"/>
      </w:tabs>
      <w:spacing w:lineRule="atLeast" w:line="271"/>
      <w:jc w:val="both"/>
    </w:pPr>
    <w:rPr>
      <w:rFonts w:ascii="Book Antiqua" w:hAnsi="Book Antiqua" w:cs="Book Antiqua"/>
      <w:sz w:val="22"/>
    </w:rPr>
  </w:style>
  <w:style w:type="paragraph" w:styleId="BodyTextIndent">
    <w:name w:val="Body Text Indent"/>
    <w:basedOn w:val="Normal"/>
    <w:pPr>
      <w:ind w:hanging="432" w:start="432" w:end="0"/>
    </w:pPr>
    <w:rPr>
      <w:rFonts w:ascii="Book Antiqua" w:hAnsi="Book Antiqua" w:cs="Book Antiqua"/>
      <w:b/>
      <w:sz w:val="28"/>
    </w:rPr>
  </w:style>
  <w:style w:type="paragraph" w:styleId="BodyTextIndent2">
    <w:name w:val="Body Text Indent 2"/>
    <w:basedOn w:val="Normal"/>
    <w:qFormat/>
    <w:pPr>
      <w:ind w:hanging="6" w:start="0" w:end="0"/>
    </w:pPr>
    <w:rPr>
      <w:rFonts w:ascii="Book Antiqua" w:hAnsi="Book Antiqua" w:cs="Book Antiqua"/>
      <w:sz w:val="22"/>
    </w:rPr>
  </w:style>
  <w:style w:type="paragraph" w:styleId="CommentText">
    <w:name w:val="Comment Text"/>
    <w:basedOn w:val="Normal"/>
    <w:qFormat/>
    <w:pPr>
      <w:spacing w:lineRule="atLeast" w:line="271"/>
      <w:jc w:val="both"/>
    </w:pPr>
    <w:rPr>
      <w:rFonts w:ascii="Book Antiqua" w:hAnsi="Book Antiqua" w:cs="Book Antiqua"/>
      <w:sz w:val="22"/>
    </w:rPr>
  </w:style>
  <w:style w:type="paragraph" w:styleId="endnotetext1">
    <w:name w:val="endnote text1"/>
    <w:basedOn w:val="Normal"/>
    <w:qFormat/>
    <w:pPr>
      <w:spacing w:lineRule="atLeast" w:line="271"/>
      <w:jc w:val="both"/>
    </w:pPr>
    <w:rPr>
      <w:rFonts w:ascii="Book Antiqua" w:hAnsi="Book Antiqua" w:cs="Book Antiqua"/>
      <w:sz w:val="22"/>
    </w:rPr>
  </w:style>
  <w:style w:type="paragraph" w:styleId="toaheading">
    <w:name w:val="toa heading"/>
    <w:basedOn w:val="Heading"/>
    <w:next w:val="Normal"/>
    <w:qFormat/>
    <w:pPr>
      <w:spacing w:before="120" w:after="60"/>
    </w:pPr>
    <w:rPr/>
  </w:style>
  <w:style w:type="paragraph" w:styleId="Subtitle-paul">
    <w:name w:val="Subtitle-paul"/>
    <w:basedOn w:val="Heading"/>
    <w:qFormat/>
    <w:pPr/>
    <w:rPr>
      <w:i/>
      <w:caps w:val="false"/>
      <w:smallCaps w:val="false"/>
    </w:rPr>
  </w:style>
  <w:style w:type="paragraph" w:styleId="Annex1">
    <w:name w:val="Annex 1"/>
    <w:basedOn w:val="Heading1"/>
    <w:qFormat/>
    <w:pPr>
      <w:numPr>
        <w:ilvl w:val="0"/>
        <w:numId w:val="4"/>
      </w:numPr>
      <w:tabs>
        <w:tab w:val="clear" w:pos="720"/>
        <w:tab w:val="left" w:pos="1440" w:leader="none"/>
      </w:tabs>
      <w:outlineLvl w:val="9"/>
    </w:pPr>
    <w:rPr>
      <w:caps/>
    </w:rPr>
  </w:style>
  <w:style w:type="paragraph" w:styleId="PlainText">
    <w:name w:val="Plain Text"/>
    <w:basedOn w:val="Normal"/>
    <w:qFormat/>
    <w:pPr>
      <w:spacing w:lineRule="atLeast" w:line="271"/>
      <w:jc w:val="both"/>
    </w:pPr>
    <w:rPr>
      <w:rFonts w:ascii="Courier New" w:hAnsi="Courier New" w:cs="Courier New"/>
    </w:rPr>
  </w:style>
  <w:style w:type="paragraph" w:styleId="Subtitle">
    <w:name w:val="Subtitle"/>
    <w:basedOn w:val="Normal"/>
    <w:next w:val="BodyText"/>
    <w:qFormat/>
    <w:pPr>
      <w:spacing w:lineRule="atLeast" w:line="271"/>
      <w:jc w:val="center"/>
    </w:pPr>
    <w:rPr>
      <w:rFonts w:ascii="Book Antiqua" w:hAnsi="Book Antiqua" w:cs="Book Antiqua"/>
      <w:b/>
      <w:sz w:val="22"/>
    </w:rPr>
  </w:style>
  <w:style w:type="paragraph" w:styleId="BodyText2">
    <w:name w:val="Body Text 2"/>
    <w:basedOn w:val="Normal"/>
    <w:qFormat/>
    <w:pPr>
      <w:spacing w:lineRule="atLeast" w:line="271"/>
    </w:pPr>
    <w:rPr>
      <w:rFonts w:ascii="Book Antiqua" w:hAnsi="Book Antiqua" w:cs="Book Antiqua"/>
      <w:i/>
      <w:sz w:val="22"/>
    </w:rPr>
  </w:style>
  <w:style w:type="paragraph" w:styleId="BodyText3">
    <w:name w:val="Body Text 3"/>
    <w:basedOn w:val="Normal"/>
    <w:qFormat/>
    <w:pPr>
      <w:spacing w:lineRule="atLeast" w:line="271"/>
      <w:jc w:val="both"/>
    </w:pPr>
    <w:rPr>
      <w:rFonts w:ascii="Book Antiqua" w:hAnsi="Book Antiqua" w:cs="Book Antiqua"/>
      <w:b/>
      <w:i/>
      <w:sz w:val="22"/>
    </w:rPr>
  </w:style>
  <w:style w:type="paragraph" w:styleId="BodyTextIndent3">
    <w:name w:val="Body Text Indent 3"/>
    <w:basedOn w:val="Normal"/>
    <w:qFormat/>
    <w:pPr>
      <w:ind w:hanging="0" w:start="66" w:end="0"/>
    </w:pPr>
    <w:rPr/>
  </w:style>
  <w:style w:type="paragraph" w:styleId="EndnoteText">
    <w:name w:val="endnote text"/>
    <w:basedOn w:val="Normal"/>
    <w:pPr/>
    <w:rPr>
      <w:sz w:val="20"/>
    </w:rPr>
  </w:style>
  <w:style w:type="paragraph" w:styleId="Bullet">
    <w:name w:val="Bullet"/>
    <w:qFormat/>
    <w:pPr>
      <w:widowControl/>
      <w:numPr>
        <w:ilvl w:val="0"/>
        <w:numId w:val="3"/>
      </w:numPr>
      <w:autoSpaceDE w:val="false"/>
      <w:bidi w:val="0"/>
      <w:spacing w:lineRule="auto" w:line="360" w:before="0" w:after="240"/>
    </w:pPr>
    <w:rPr>
      <w:rFonts w:ascii="CG Omega" w:hAnsi="CG Omega" w:eastAsia="Times New Roman" w:cs="CG Omega"/>
      <w:color w:val="auto"/>
      <w:sz w:val="22"/>
      <w:szCs w:val="22"/>
      <w:lang w:val="en-GB"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2001-05-17T10:18:00Z</dcterms:created>
  <dc:creator>Nick Elms</dc:creator>
  <dc:description/>
  <dc:language>en-CA</dc:language>
  <cp:lastModifiedBy>Elms</cp:lastModifiedBy>
  <cp:lastPrinted>2001-05-18T14:07:00Z</cp:lastPrinted>
  <dcterms:modified xsi:type="dcterms:W3CDTF">2001-05-29T12:31:00Z</dcterms:modified>
  <cp:revision>33</cp:revision>
  <dc:subject/>
  <dc:title>Price control response</dc:title>
</cp:coreProperties>
</file>