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jc w:val="center"/>
        <w:rPr>
          <w:rFonts w:ascii="Arial" w:hAnsi="Arial" w:cs="Arial"/>
          <w:b/>
          <w:sz w:val="32"/>
        </w:rPr>
      </w:pPr>
      <w:r>
        <w:rPr>
          <w:rFonts w:cs="Arial" w:ascii="Arial" w:hAnsi="Arial"/>
          <w:b/>
          <w:sz w:val="32"/>
        </w:rPr>
        <w:t>- MARKET NOTICE -</w:t>
      </w:r>
    </w:p>
    <w:p>
      <w:pPr>
        <w:pStyle w:val="Normal"/>
        <w:ind w:start="90" w:end="0"/>
        <w:jc w:val="center"/>
        <w:rPr>
          <w:rFonts w:ascii="Arial" w:hAnsi="Arial" w:cs="Arial"/>
          <w:b/>
          <w:sz w:val="32"/>
        </w:rPr>
      </w:pPr>
      <w:r>
        <w:rPr>
          <w:rFonts w:cs="Arial" w:ascii="Arial" w:hAnsi="Arial"/>
          <w:b/>
          <w:sz w:val="32"/>
        </w:rPr>
      </w:r>
    </w:p>
    <w:p>
      <w:pPr>
        <w:pStyle w:val="Normal"/>
        <w:jc w:val="center"/>
        <w:rPr>
          <w:rFonts w:ascii="Arial" w:hAnsi="Arial" w:cs="Arial"/>
          <w:b/>
          <w:sz w:val="32"/>
        </w:rPr>
      </w:pPr>
      <w:r>
        <w:rPr>
          <w:rFonts w:cs="Arial" w:ascii="Arial" w:hAnsi="Arial"/>
          <w:b/>
          <w:sz w:val="32"/>
        </w:rPr>
        <w:t>SUBMISSION OF GENERATOR PERFORMANCE DATA BY CALIFORNIA NON-PUBLIC UTILITIES</w:t>
      </w:r>
    </w:p>
    <w:p>
      <w:pPr>
        <w:pStyle w:val="Normal"/>
        <w:jc w:val="center"/>
        <w:rPr>
          <w:rFonts w:ascii="Arial" w:hAnsi="Arial" w:cs="Arial"/>
          <w:b/>
          <w:sz w:val="32"/>
        </w:rPr>
      </w:pPr>
      <w:r>
        <w:rPr>
          <w:rFonts w:cs="Arial" w:ascii="Arial" w:hAnsi="Arial"/>
          <w:b/>
          <w:sz w:val="32"/>
        </w:rPr>
      </w:r>
    </w:p>
    <w:p>
      <w:pPr>
        <w:pStyle w:val="Normal"/>
        <w:pBdr>
          <w:top w:val="single" w:sz="4" w:space="1" w:color="000000"/>
        </w:pBdr>
        <w:jc w:val="center"/>
        <w:rPr>
          <w:rFonts w:ascii="Arial" w:hAnsi="Arial" w:cs="Arial"/>
          <w:b/>
          <w:sz w:val="32"/>
        </w:rPr>
      </w:pPr>
      <w:r>
        <w:rPr>
          <w:rFonts w:cs="Arial" w:ascii="Arial" w:hAnsi="Arial"/>
          <w:b/>
          <w:sz w:val="32"/>
        </w:rPr>
      </w:r>
    </w:p>
    <w:p>
      <w:pPr>
        <w:pStyle w:val="Normal"/>
        <w:pBdr>
          <w:top w:val="single" w:sz="4" w:space="1" w:color="000000"/>
        </w:pBdr>
        <w:spacing w:before="0" w:after="120"/>
        <w:rPr/>
      </w:pPr>
      <w:r>
        <w:rPr>
          <w:rFonts w:cs="Arial" w:ascii="Arial" w:hAnsi="Arial"/>
          <w:sz w:val="24"/>
        </w:rPr>
        <w:t xml:space="preserve">The Federal Energy Regulatory Commission’s (FERC) April 26th </w:t>
      </w:r>
      <w:r>
        <w:rPr>
          <w:rFonts w:cs="Arial" w:ascii="Arial" w:hAnsi="Arial"/>
          <w:i/>
          <w:sz w:val="24"/>
        </w:rPr>
        <w:t>Order Establishing Prospective Mitigation and Monitoring Plan for the California Wholesale Electric Markets and Establishing an Investigation Of Public Utility Rates in Wholesale Western Energy Markets</w:t>
      </w:r>
      <w:r>
        <w:rPr>
          <w:rFonts w:cs="Arial" w:ascii="Arial" w:hAnsi="Arial"/>
          <w:sz w:val="24"/>
        </w:rPr>
        <w:t xml:space="preserve"> imposes a “selling obligation” on all generators with Participating Generator Agreements (PGAs) and all non-public utility sellers that own or control generators located in California.  That is, under FERC’s order, all generators located in California that either sell energy through the ISO’s markets or whose power is transmitted over the ISO Controlled Grid, must offer the ISO all of their capacity in real-time during all hours if it is available and not already scheduled to run through bilateral agreements.  FERC’s must-sell obligation will become effective May 29, 2001.</w:t>
      </w:r>
    </w:p>
    <w:p>
      <w:pPr>
        <w:pStyle w:val="Normal"/>
        <w:pBdr>
          <w:top w:val="single" w:sz="4" w:space="1" w:color="000000"/>
        </w:pBdr>
        <w:spacing w:before="0" w:after="120"/>
        <w:rPr>
          <w:rFonts w:ascii="Arial" w:hAnsi="Arial" w:cs="Arial"/>
          <w:sz w:val="24"/>
        </w:rPr>
      </w:pPr>
      <w:r>
        <w:rPr>
          <w:rFonts w:cs="Arial" w:ascii="Arial" w:hAnsi="Arial"/>
          <w:sz w:val="24"/>
        </w:rPr>
        <w:t>In order to effectively implement FERC’s directive, the ISO must be able to verify the amount of available capacity from each generating unit in California that is subject to the above provisions.  To determine the amount of capacity available during real time from each generator, the ISO must have the following information:</w:t>
      </w:r>
    </w:p>
    <w:p>
      <w:pPr>
        <w:pStyle w:val="Normal"/>
        <w:numPr>
          <w:ilvl w:val="0"/>
          <w:numId w:val="1"/>
        </w:numPr>
        <w:spacing w:before="0" w:after="120"/>
        <w:rPr>
          <w:rFonts w:ascii="Arial" w:hAnsi="Arial" w:cs="Arial"/>
          <w:sz w:val="24"/>
        </w:rPr>
      </w:pPr>
      <w:r>
        <w:rPr>
          <w:rFonts w:cs="Arial" w:ascii="Arial" w:hAnsi="Arial"/>
          <w:sz w:val="24"/>
        </w:rPr>
        <w:t>The maximum generating capability of the generating unit (Pmax);</w:t>
      </w:r>
    </w:p>
    <w:p>
      <w:pPr>
        <w:pStyle w:val="Normal"/>
        <w:numPr>
          <w:ilvl w:val="0"/>
          <w:numId w:val="1"/>
        </w:numPr>
        <w:spacing w:before="0" w:after="120"/>
        <w:rPr>
          <w:rFonts w:ascii="Arial" w:hAnsi="Arial" w:cs="Arial"/>
          <w:sz w:val="24"/>
        </w:rPr>
      </w:pPr>
      <w:r>
        <w:rPr>
          <w:rFonts w:cs="Arial" w:ascii="Arial" w:hAnsi="Arial"/>
          <w:sz w:val="24"/>
        </w:rPr>
        <w:t>The minimum generating capability of the generating unit (Pmin);</w:t>
      </w:r>
    </w:p>
    <w:p>
      <w:pPr>
        <w:pStyle w:val="Normal"/>
        <w:numPr>
          <w:ilvl w:val="0"/>
          <w:numId w:val="1"/>
        </w:numPr>
        <w:spacing w:before="0" w:after="120"/>
        <w:rPr>
          <w:rFonts w:ascii="Arial" w:hAnsi="Arial" w:cs="Arial"/>
          <w:sz w:val="24"/>
        </w:rPr>
      </w:pPr>
      <w:r>
        <w:rPr>
          <w:rFonts w:cs="Arial" w:ascii="Arial" w:hAnsi="Arial"/>
          <w:sz w:val="24"/>
        </w:rPr>
        <w:t>The ramp rate of the unit.</w:t>
      </w:r>
    </w:p>
    <w:p>
      <w:pPr>
        <w:pStyle w:val="Normal"/>
        <w:spacing w:before="0" w:after="120"/>
        <w:rPr>
          <w:rFonts w:ascii="Arial" w:hAnsi="Arial" w:cs="Arial"/>
          <w:sz w:val="24"/>
        </w:rPr>
      </w:pPr>
      <w:r>
        <w:rPr>
          <w:rFonts w:cs="Arial" w:ascii="Arial" w:hAnsi="Arial"/>
          <w:sz w:val="24"/>
        </w:rPr>
        <w:t xml:space="preserve">The ISO currently has or receives such information from those generating units with PGAs.  The ISO does not have or receive such information from other generating units in California.  Therefore, the ISO requests that all generating units located in California that either that either sell energy through the ISO’s markets or whose power is transmitted over the ISO Controlled Grid provide the information identified above to the ISO and update that information for any changes that occur.  If requested by generating unit owners, the ISO will treat the information on a confidential basis and will apply the procedures in section 20.3.4 of ISO Tariff with regard to requests for disclosure of such information.  </w:t>
      </w:r>
    </w:p>
    <w:p>
      <w:pPr>
        <w:pStyle w:val="Normal"/>
        <w:spacing w:before="0" w:after="120"/>
        <w:rPr/>
      </w:pPr>
      <w:r>
        <w:rPr>
          <w:rFonts w:cs="Arial" w:ascii="Arial" w:hAnsi="Arial"/>
          <w:sz w:val="24"/>
        </w:rPr>
        <w:t>Please submit the required data no later than 5:00 PM, May 16, 2001.  Please submit such information electronically to Jim Price at the ISO (</w:t>
      </w:r>
      <w:hyperlink r:id="rId2">
        <w:r>
          <w:rPr>
            <w:rStyle w:val="Hyperlink"/>
            <w:rFonts w:cs="Arial" w:ascii="Arial" w:hAnsi="Arial"/>
            <w:sz w:val="24"/>
          </w:rPr>
          <w:t>jprice@caiso.com</w:t>
        </w:r>
      </w:hyperlink>
      <w:r>
        <w:rPr>
          <w:rFonts w:cs="Arial" w:ascii="Arial" w:hAnsi="Arial"/>
          <w:sz w:val="24"/>
        </w:rPr>
        <w:t xml:space="preserve">).  </w:t>
      </w:r>
    </w:p>
    <w:p>
      <w:pPr>
        <w:pStyle w:val="Normal"/>
        <w:spacing w:before="0" w:after="120"/>
        <w:rPr>
          <w:rFonts w:ascii="Arial" w:hAnsi="Arial" w:cs="Arial"/>
          <w:sz w:val="24"/>
        </w:rPr>
      </w:pPr>
      <w:r>
        <w:rPr>
          <w:rFonts w:cs="Arial" w:ascii="Arial" w:hAnsi="Arial"/>
          <w:sz w:val="24"/>
        </w:rPr>
        <w:t>In order to effectively implement FERC’s must-sell obligation, the ISO will also need to know the availability of a generating unit on an hourly basis, including updated information on planned and forced generating unit outages and bilateral transactions.  The ISO intends to address the need for this information in its upcoming compliance filing on the FERC order, due May 11, 2001.</w:t>
      </w:r>
    </w:p>
    <w:p>
      <w:pPr>
        <w:pStyle w:val="Normal"/>
        <w:rPr>
          <w:rFonts w:ascii="Arial" w:hAnsi="Arial" w:eastAsia="Arial" w:cs="Arial"/>
          <w:sz w:val="24"/>
        </w:rPr>
      </w:pPr>
      <w:r>
        <w:rPr>
          <w:rFonts w:eastAsia="Arial" w:cs="Arial" w:ascii="Arial" w:hAnsi="Arial"/>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jprice@caiso.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2001-05-03T16:48:00Z</dcterms:created>
  <dc:creator>SGreenleaf</dc:creator>
  <dc:description/>
  <dc:language>en-CA</dc:language>
  <cp:lastModifiedBy>BBurns</cp:lastModifiedBy>
  <dcterms:modified xsi:type="dcterms:W3CDTF">2001-05-07T19:22:00Z</dcterms:modified>
  <cp:revision>5</cp:revision>
  <dc:subject/>
  <dc:title>- MARKET NOTICE -</dc:title>
</cp:coreProperties>
</file>