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jc w:val="center"/>
        <w:rPr>
          <w:rFonts w:ascii="Arial" w:hAnsi="Arial" w:cs="Arial"/>
          <w:b/>
          <w:sz w:val="32"/>
        </w:rPr>
      </w:pPr>
      <w:r>
        <w:rPr>
          <w:rFonts w:cs="Arial" w:ascii="Arial" w:hAnsi="Arial"/>
          <w:b/>
          <w:sz w:val="32"/>
        </w:rPr>
        <w:t>- MARKET NOTICE -</w:t>
      </w:r>
    </w:p>
    <w:p>
      <w:pPr>
        <w:pStyle w:val="Normal"/>
        <w:ind w:start="90" w:end="0"/>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SUBMISSION OF GENERATOR HEAT RATE AND EMISSION DATA</w:t>
      </w:r>
    </w:p>
    <w:p>
      <w:pPr>
        <w:pStyle w:val="Normal"/>
        <w:jc w:val="center"/>
        <w:rPr>
          <w:rFonts w:ascii="Arial" w:hAnsi="Arial" w:cs="Arial"/>
          <w:b/>
          <w:sz w:val="32"/>
        </w:rPr>
      </w:pPr>
      <w:r>
        <w:rPr>
          <w:rFonts w:cs="Arial" w:ascii="Arial" w:hAnsi="Arial"/>
          <w:b/>
          <w:sz w:val="32"/>
        </w:rPr>
      </w:r>
    </w:p>
    <w:p>
      <w:pPr>
        <w:pStyle w:val="Normal"/>
        <w:pBdr>
          <w:top w:val="single" w:sz="4" w:space="1" w:color="000000"/>
        </w:pBdr>
        <w:jc w:val="center"/>
        <w:rPr>
          <w:rFonts w:ascii="Arial" w:hAnsi="Arial" w:cs="Arial"/>
          <w:b/>
          <w:sz w:val="32"/>
        </w:rPr>
      </w:pPr>
      <w:r>
        <w:rPr>
          <w:rFonts w:cs="Arial" w:ascii="Arial" w:hAnsi="Arial"/>
          <w:b/>
          <w:sz w:val="32"/>
        </w:rPr>
      </w:r>
    </w:p>
    <w:p>
      <w:pPr>
        <w:pStyle w:val="Normal"/>
        <w:pBdr>
          <w:top w:val="single" w:sz="4" w:space="1" w:color="000000"/>
        </w:pBdr>
        <w:rPr/>
      </w:pPr>
      <w:r>
        <w:rPr>
          <w:rFonts w:cs="Arial" w:ascii="Arial" w:hAnsi="Arial"/>
          <w:sz w:val="24"/>
        </w:rPr>
        <w:t xml:space="preserve">The Federal Energy Commission’s (FERC) April 26, </w:t>
      </w:r>
      <w:r>
        <w:rPr>
          <w:rFonts w:cs="Arial" w:ascii="Arial" w:hAnsi="Arial"/>
          <w:i/>
          <w:sz w:val="24"/>
        </w:rPr>
        <w:t>Order Establishing Prospective Mitigation and Monitoring Plan for the California Wholesale Electric Markets and Establishing an Investigation Of Public Utility Rates in Wholesale Western Energy Markets</w:t>
      </w:r>
      <w:r>
        <w:rPr>
          <w:rFonts w:cs="Arial" w:ascii="Arial" w:hAnsi="Arial"/>
          <w:sz w:val="24"/>
        </w:rPr>
        <w:t xml:space="preserve">, imposes price mitigation on all generators in California, including non-public utility generators, with available capacity during periods of reserve deficiency, defined as emergency situations beginning at Stage 1 Emergency.  FERC’s price mitigation measures will become effective May 29, 2001. </w:t>
      </w:r>
    </w:p>
    <w:p>
      <w:pPr>
        <w:pStyle w:val="Normal"/>
        <w:pBdr>
          <w:top w:val="single" w:sz="4" w:space="1" w:color="000000"/>
        </w:pBdr>
        <w:rPr>
          <w:rFonts w:ascii="Arial" w:hAnsi="Arial" w:cs="Arial"/>
          <w:sz w:val="24"/>
        </w:rPr>
      </w:pPr>
      <w:r>
        <w:rPr>
          <w:rFonts w:cs="Arial" w:ascii="Arial" w:hAnsi="Arial"/>
          <w:sz w:val="24"/>
        </w:rPr>
      </w:r>
    </w:p>
    <w:p>
      <w:pPr>
        <w:pStyle w:val="Normal"/>
        <w:pBdr>
          <w:top w:val="single" w:sz="4" w:space="1" w:color="000000"/>
        </w:pBdr>
        <w:rPr>
          <w:rFonts w:ascii="Arial" w:hAnsi="Arial" w:cs="Arial"/>
          <w:sz w:val="24"/>
        </w:rPr>
      </w:pPr>
      <w:r>
        <w:rPr>
          <w:rFonts w:cs="Arial" w:ascii="Arial" w:hAnsi="Arial"/>
          <w:sz w:val="24"/>
        </w:rPr>
        <w:t>FERC directed each gas-fired generator in California (both those who have signed Participating Generator Agreements (PGAs) and those non-public utility gas-fired generators who sell into the ISO’s markets or utilize the ISO Controlled Grid)) to file, by May 1, 2001 (within five days of the order) with the Commission and the ISO (on a confidential basis) the heat rate (not including start</w:t>
        <w:noBreakHyphen/>
        <w:t>up and minimum load fuel costs) and emission rate for each generating unit.</w:t>
      </w:r>
    </w:p>
    <w:p>
      <w:pPr>
        <w:pStyle w:val="Normal"/>
        <w:pBdr>
          <w:top w:val="single" w:sz="4" w:space="1" w:color="000000"/>
        </w:pBdr>
        <w:rPr>
          <w:rFonts w:ascii="Arial" w:hAnsi="Arial" w:cs="Arial"/>
          <w:sz w:val="24"/>
        </w:rPr>
      </w:pPr>
      <w:r>
        <w:rPr>
          <w:rFonts w:cs="Arial" w:ascii="Arial" w:hAnsi="Arial"/>
          <w:sz w:val="24"/>
        </w:rPr>
      </w:r>
    </w:p>
    <w:p>
      <w:pPr>
        <w:pStyle w:val="Normal"/>
        <w:pBdr>
          <w:top w:val="single" w:sz="4" w:space="1" w:color="000000"/>
        </w:pBdr>
        <w:rPr/>
      </w:pPr>
      <w:r>
        <w:rPr>
          <w:rFonts w:cs="Arial" w:ascii="Arial" w:hAnsi="Arial"/>
          <w:sz w:val="24"/>
        </w:rPr>
        <w:t xml:space="preserve">In order to facilitate the provision and use of the heat rate and emission data to be provided by the above-described generating units, the ISO has developed a template (attached) for submitting the required data.  The template requests that generating unit owners provide the heat and emission rates at various output levels.  The template also specifies that generating unit owners </w:t>
      </w:r>
      <w:r>
        <w:rPr>
          <w:rFonts w:cs="Arial" w:ascii="Arial" w:hAnsi="Arial"/>
          <w:i/>
          <w:sz w:val="24"/>
        </w:rPr>
        <w:t>must</w:t>
      </w:r>
      <w:r>
        <w:rPr>
          <w:rFonts w:cs="Arial" w:ascii="Arial" w:hAnsi="Arial"/>
          <w:sz w:val="24"/>
        </w:rPr>
        <w:t xml:space="preserve"> provide the heat and emission rate data “at or near” each unit’s maximum output.</w:t>
      </w:r>
    </w:p>
    <w:p>
      <w:pPr>
        <w:pStyle w:val="Normal"/>
        <w:pBdr>
          <w:top w:val="single" w:sz="4" w:space="1" w:color="000000"/>
        </w:pBdr>
        <w:rPr>
          <w:rFonts w:ascii="Arial" w:hAnsi="Arial" w:cs="Arial"/>
          <w:sz w:val="24"/>
        </w:rPr>
      </w:pPr>
      <w:r>
        <w:rPr>
          <w:rFonts w:cs="Arial" w:ascii="Arial" w:hAnsi="Arial"/>
          <w:sz w:val="24"/>
        </w:rPr>
      </w:r>
    </w:p>
    <w:p>
      <w:pPr>
        <w:pStyle w:val="Normal"/>
        <w:pBdr>
          <w:top w:val="single" w:sz="4" w:space="1" w:color="000000"/>
        </w:pBdr>
        <w:rPr/>
      </w:pPr>
      <w:r>
        <w:rPr>
          <w:rFonts w:cs="Arial" w:ascii="Arial" w:hAnsi="Arial"/>
          <w:sz w:val="24"/>
        </w:rPr>
        <w:t>Please submit the required data, in the format specified, no later than 5:00 PM, May 1, 2001.  Please submit such information electronically to Jim Price at the ISO (</w:t>
      </w:r>
      <w:hyperlink r:id="rId2">
        <w:r>
          <w:rPr>
            <w:rStyle w:val="Hyperlink"/>
            <w:rFonts w:cs="Arial" w:ascii="Arial" w:hAnsi="Arial"/>
            <w:sz w:val="24"/>
          </w:rPr>
          <w:t>jprice@caiso.com</w:t>
        </w:r>
      </w:hyperlink>
      <w:r>
        <w:rPr>
          <w:rFonts w:cs="Arial" w:ascii="Arial" w:hAnsi="Arial"/>
          <w:sz w:val="24"/>
        </w:rPr>
        <w:t xml:space="preserve">).  The ISO will treat all submitted data on a confidential basis.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jprice@cais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2001-04-27T20:58:00Z</dcterms:created>
  <dc:creator>SGreenleaf</dc:creator>
  <dc:description/>
  <dc:language>en-CA</dc:language>
  <cp:lastModifiedBy>SGreenleaf</cp:lastModifiedBy>
  <dcterms:modified xsi:type="dcterms:W3CDTF">2001-04-27T20:58:00Z</dcterms:modified>
  <cp:revision>2</cp:revision>
  <dc:subject/>
  <dc:title>- MARKET NOTICE -</dc:title>
</cp:coreProperties>
</file>