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98" w:type="dxa"/>
        <w:jc w:val="start"/>
        <w:tblInd w:w="0" w:type="dxa"/>
        <w:tblLayout w:type="fixed"/>
        <w:tblCellMar>
          <w:top w:w="0" w:type="dxa"/>
          <w:start w:w="0" w:type="dxa"/>
          <w:bottom w:w="0" w:type="dxa"/>
          <w:end w:w="0" w:type="dxa"/>
        </w:tblCellMar>
      </w:tblPr>
      <w:tblGrid>
        <w:gridCol w:w="1276"/>
        <w:gridCol w:w="3260"/>
        <w:gridCol w:w="2268"/>
        <w:gridCol w:w="2268"/>
        <w:gridCol w:w="426"/>
      </w:tblGrid>
      <w:tr>
        <w:trPr>
          <w:trHeight w:val="1276" w:hRule="atLeast"/>
        </w:trPr>
        <w:tc>
          <w:tcPr>
            <w:tcW w:w="6804" w:type="dxa"/>
            <w:gridSpan w:val="3"/>
            <w:tcBorders/>
          </w:tcPr>
          <w:p>
            <w:pPr>
              <w:pStyle w:val="Normal"/>
              <w:spacing w:before="520" w:after="60"/>
              <w:rPr>
                <w:rFonts w:ascii="Arial Narrow" w:hAnsi="Arial Narrow" w:cs="Arial Narrow"/>
                <w:sz w:val="21"/>
              </w:rPr>
            </w:pPr>
            <w:bookmarkStart w:id="0" w:name="bmkLogo2"/>
            <w:bookmarkEnd w:id="0"/>
            <w:r>
              <w:rPr>
                <w:rFonts w:cs="Arial Narrow" w:ascii="Arial Narrow" w:hAnsi="Arial Narrow"/>
                <w:sz w:val="21"/>
              </w:rPr>
              <w:drawing>
                <wp:inline distT="0" distB="0" distL="0" distR="0">
                  <wp:extent cx="1078865" cy="142875"/>
                  <wp:effectExtent l="0" t="0" r="0" b="0"/>
                  <wp:docPr id="1" name="Linklaters"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klaters" descr="" title=""/>
                          <pic:cNvPicPr>
                            <a:picLocks noChangeAspect="1" noChangeArrowheads="1"/>
                          </pic:cNvPicPr>
                        </pic:nvPicPr>
                        <pic:blipFill>
                          <a:blip r:embed="rId2"/>
                          <a:srcRect l="-34" t="-258" r="-34" b="-258"/>
                          <a:stretch>
                            <a:fillRect/>
                          </a:stretch>
                        </pic:blipFill>
                        <pic:spPr bwMode="auto">
                          <a:xfrm>
                            <a:off x="0" y="0"/>
                            <a:ext cx="1078865" cy="142875"/>
                          </a:xfrm>
                          <a:prstGeom prst="rect">
                            <a:avLst/>
                          </a:prstGeom>
                          <a:noFill/>
                        </pic:spPr>
                      </pic:pic>
                    </a:graphicData>
                  </a:graphic>
                </wp:inline>
              </w:drawing>
            </w:r>
          </w:p>
          <w:p>
            <w:pPr>
              <w:pStyle w:val="Normal"/>
              <w:rPr>
                <w:rFonts w:ascii="MS Mincho" w:hAnsi="MS Mincho" w:cs="MS Mincho"/>
                <w:sz w:val="14"/>
              </w:rPr>
            </w:pPr>
            <w:bookmarkStart w:id="1" w:name="bmkLinklatersTokyo"/>
            <w:bookmarkStart w:id="2" w:name="bmkLogoCaption"/>
            <w:bookmarkEnd w:id="2"/>
            <w:r>
              <w:rPr>
                <w:rFonts w:ascii="MS Mincho" w:hAnsi="MS Mincho" w:cs="MS Mincho"/>
                <w:sz w:val="14"/>
              </w:rPr>
              <w:t>リンクレーターズ外国法事務弁護所事務所</w:t>
            </w:r>
          </w:p>
          <w:p>
            <w:pPr>
              <w:pStyle w:val="Normal"/>
              <w:spacing w:before="60" w:after="60"/>
              <w:rPr>
                <w:rFonts w:ascii="MS Mincho" w:hAnsi="MS Mincho" w:cs="MS Mincho"/>
                <w:sz w:val="14"/>
              </w:rPr>
            </w:pPr>
            <w:bookmarkStart w:id="3" w:name="bmkLinklatersTokyo"/>
            <w:r>
              <w:rPr>
                <w:rFonts w:ascii="MS Mincho" w:hAnsi="MS Mincho" w:cs="MS Mincho"/>
                <w:sz w:val="14"/>
              </w:rPr>
              <w:t>原資格国法：連合王国法　アメリカ合衆国ニューヨーク州法</w:t>
            </w:r>
            <w:bookmarkEnd w:id="3"/>
          </w:p>
        </w:tc>
        <w:tc>
          <w:tcPr>
            <w:tcW w:w="2268" w:type="dxa"/>
            <w:tcBorders/>
          </w:tcPr>
          <w:p>
            <w:pPr>
              <w:pStyle w:val="Normal"/>
              <w:spacing w:before="240" w:after="120"/>
              <w:jc w:val="end"/>
              <w:rPr/>
            </w:pPr>
            <w:bookmarkStart w:id="4" w:name="bmkLandA"/>
            <w:bookmarkEnd w:id="4"/>
            <w:r>
              <w:rPr/>
              <w:drawing>
                <wp:inline distT="0" distB="0" distL="0" distR="0">
                  <wp:extent cx="1115695" cy="361315"/>
                  <wp:effectExtent l="0" t="0" r="0" b="0"/>
                  <wp:docPr id="2" name="L&amp;A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mp;A2" descr="" title=""/>
                          <pic:cNvPicPr>
                            <a:picLocks noChangeAspect="1" noChangeArrowheads="1"/>
                          </pic:cNvPicPr>
                        </pic:nvPicPr>
                        <pic:blipFill>
                          <a:blip r:embed="rId3"/>
                          <a:srcRect l="-33" t="-107" r="-33" b="-107"/>
                          <a:stretch>
                            <a:fillRect/>
                          </a:stretch>
                        </pic:blipFill>
                        <pic:spPr bwMode="auto">
                          <a:xfrm>
                            <a:off x="0" y="0"/>
                            <a:ext cx="1115695" cy="361315"/>
                          </a:xfrm>
                          <a:prstGeom prst="rect">
                            <a:avLst/>
                          </a:prstGeom>
                          <a:noFill/>
                        </pic:spPr>
                      </pic:pic>
                    </a:graphicData>
                  </a:graphic>
                </wp:inline>
              </w:drawing>
            </w:r>
          </w:p>
        </w:tc>
        <w:tc>
          <w:tcPr>
            <w:tcW w:w="426" w:type="dxa"/>
            <w:tcBorders/>
            <w:vAlign w:val="center"/>
          </w:tcPr>
          <w:p>
            <w:pPr>
              <w:pStyle w:val="Normal"/>
              <w:snapToGrid w:val="false"/>
              <w:spacing w:before="240" w:after="120"/>
              <w:ind w:start="57" w:end="0"/>
              <w:rPr>
                <w:sz w:val="28"/>
              </w:rPr>
            </w:pPr>
            <w:r>
              <w:rPr>
                <w:sz w:val="28"/>
              </w:rPr>
            </w:r>
          </w:p>
        </w:tc>
      </w:tr>
      <w:tr>
        <w:trPr>
          <w:trHeight w:val="200" w:hRule="exact"/>
        </w:trPr>
        <w:tc>
          <w:tcPr>
            <w:tcW w:w="1276" w:type="dxa"/>
            <w:tcBorders/>
          </w:tcPr>
          <w:p>
            <w:pPr>
              <w:pStyle w:val="Normal"/>
              <w:snapToGrid w:val="false"/>
              <w:rPr>
                <w:b/>
                <w:sz w:val="80"/>
              </w:rPr>
            </w:pPr>
            <w:r>
              <w:rPr>
                <w:b/>
                <w:sz w:val="80"/>
              </w:rPr>
            </w:r>
          </w:p>
        </w:tc>
        <w:tc>
          <w:tcPr>
            <w:tcW w:w="7796" w:type="dxa"/>
            <w:gridSpan w:val="3"/>
            <w:tcBorders/>
          </w:tcPr>
          <w:p>
            <w:pPr>
              <w:pStyle w:val="Normal"/>
              <w:snapToGrid w:val="false"/>
              <w:rPr>
                <w:b/>
              </w:rPr>
            </w:pPr>
            <w:r>
              <w:rPr>
                <w:b/>
              </w:rPr>
            </w:r>
          </w:p>
        </w:tc>
        <w:tc>
          <w:tcPr>
            <w:tcW w:w="426" w:type="dxa"/>
            <w:tcBorders/>
          </w:tcPr>
          <w:p>
            <w:pPr>
              <w:pStyle w:val="Normal"/>
              <w:snapToGrid w:val="false"/>
              <w:rPr/>
            </w:pPr>
            <w:r>
              <w:rPr/>
            </w:r>
          </w:p>
        </w:tc>
      </w:tr>
      <w:tr>
        <w:trPr>
          <w:trHeight w:val="840" w:hRule="exact"/>
        </w:trPr>
        <w:tc>
          <w:tcPr>
            <w:tcW w:w="4536" w:type="dxa"/>
            <w:gridSpan w:val="2"/>
            <w:tcBorders/>
          </w:tcPr>
          <w:p>
            <w:pPr>
              <w:pStyle w:val="Normal"/>
              <w:spacing w:before="0" w:after="40"/>
              <w:rPr>
                <w:b/>
                <w:sz w:val="28"/>
              </w:rPr>
            </w:pPr>
            <w:bookmarkStart w:id="5" w:name="bmkMemo"/>
            <w:r>
              <w:rPr>
                <w:b/>
                <w:sz w:val="28"/>
              </w:rPr>
              <w:t>Memorandum</w:t>
            </w:r>
            <w:bookmarkEnd w:id="5"/>
          </w:p>
          <w:p>
            <w:pPr>
              <w:pStyle w:val="Normal"/>
              <w:spacing w:before="0" w:after="40"/>
              <w:rPr>
                <w:b/>
                <w:sz w:val="28"/>
              </w:rPr>
            </w:pPr>
            <w:r>
              <w:rPr>
                <w:b/>
                <w:sz w:val="28"/>
              </w:rPr>
            </w:r>
            <w:bookmarkStart w:id="6" w:name="bmkConfidential"/>
            <w:bookmarkStart w:id="7" w:name="bmkConfidential"/>
            <w:bookmarkEnd w:id="7"/>
          </w:p>
        </w:tc>
        <w:tc>
          <w:tcPr>
            <w:tcW w:w="4536" w:type="dxa"/>
            <w:gridSpan w:val="2"/>
            <w:tcBorders/>
          </w:tcPr>
          <w:p>
            <w:pPr>
              <w:pStyle w:val="Normal"/>
              <w:snapToGrid w:val="false"/>
              <w:rPr>
                <w:b/>
              </w:rPr>
            </w:pPr>
            <w:r>
              <w:rPr>
                <w:b/>
              </w:rPr>
            </w:r>
          </w:p>
        </w:tc>
        <w:tc>
          <w:tcPr>
            <w:tcW w:w="426" w:type="dxa"/>
            <w:tcBorders/>
          </w:tcPr>
          <w:p>
            <w:pPr>
              <w:pStyle w:val="Normal"/>
              <w:snapToGrid w:val="false"/>
              <w:rPr>
                <w:b/>
                <w:sz w:val="28"/>
              </w:rPr>
            </w:pPr>
            <w:r>
              <w:rPr>
                <w:b/>
                <w:sz w:val="28"/>
              </w:rPr>
            </w:r>
          </w:p>
        </w:tc>
      </w:tr>
      <w:tr>
        <w:trPr>
          <w:trHeight w:val="440" w:hRule="atLeast"/>
        </w:trPr>
        <w:tc>
          <w:tcPr>
            <w:tcW w:w="1276" w:type="dxa"/>
            <w:tcBorders/>
          </w:tcPr>
          <w:p>
            <w:pPr>
              <w:pStyle w:val="Normal"/>
              <w:rPr>
                <w:b/>
              </w:rPr>
            </w:pPr>
            <w:bookmarkStart w:id="8" w:name="bmkToTxt"/>
            <w:r>
              <w:rPr>
                <w:b/>
              </w:rPr>
              <w:t>To</w:t>
            </w:r>
            <w:bookmarkEnd w:id="8"/>
            <w:r>
              <w:rPr>
                <w:b/>
              </w:rPr>
              <w:t>:</w:t>
            </w:r>
          </w:p>
        </w:tc>
        <w:tc>
          <w:tcPr>
            <w:tcW w:w="7796" w:type="dxa"/>
            <w:gridSpan w:val="3"/>
            <w:tcBorders/>
          </w:tcPr>
          <w:p>
            <w:pPr>
              <w:pStyle w:val="Normal"/>
              <w:rPr/>
            </w:pPr>
            <w:bookmarkStart w:id="9" w:name="bmkTo"/>
            <w:r>
              <w:rPr/>
              <w:t>Dabhol Team</w:t>
            </w:r>
            <w:bookmarkEnd w:id="9"/>
          </w:p>
        </w:tc>
        <w:tc>
          <w:tcPr>
            <w:tcW w:w="426" w:type="dxa"/>
            <w:tcBorders/>
          </w:tcPr>
          <w:p>
            <w:pPr>
              <w:pStyle w:val="Normal"/>
              <w:snapToGrid w:val="false"/>
              <w:rPr/>
            </w:pPr>
            <w:r>
              <w:rPr/>
            </w:r>
          </w:p>
        </w:tc>
      </w:tr>
      <w:tr>
        <w:trPr>
          <w:trHeight w:val="440" w:hRule="atLeast"/>
        </w:trPr>
        <w:tc>
          <w:tcPr>
            <w:tcW w:w="1276" w:type="dxa"/>
            <w:tcBorders/>
          </w:tcPr>
          <w:p>
            <w:pPr>
              <w:pStyle w:val="Normal"/>
              <w:rPr>
                <w:b/>
              </w:rPr>
            </w:pPr>
            <w:bookmarkStart w:id="10" w:name="bmkCCTxt"/>
            <w:r>
              <w:rPr>
                <w:b/>
              </w:rPr>
              <w:t>cc</w:t>
            </w:r>
            <w:bookmarkEnd w:id="10"/>
            <w:r>
              <w:rPr>
                <w:b/>
              </w:rPr>
              <w:t>:</w:t>
            </w:r>
          </w:p>
        </w:tc>
        <w:tc>
          <w:tcPr>
            <w:tcW w:w="7796" w:type="dxa"/>
            <w:gridSpan w:val="3"/>
            <w:tcBorders/>
          </w:tcPr>
          <w:p>
            <w:pPr>
              <w:pStyle w:val="Normal"/>
              <w:snapToGrid w:val="false"/>
              <w:rPr>
                <w:b/>
              </w:rPr>
            </w:pPr>
            <w:r>
              <w:rPr>
                <w:b/>
              </w:rPr>
            </w:r>
            <w:bookmarkStart w:id="11" w:name="bmkCC"/>
            <w:bookmarkStart w:id="12" w:name="bmkCC"/>
            <w:bookmarkEnd w:id="12"/>
          </w:p>
        </w:tc>
        <w:tc>
          <w:tcPr>
            <w:tcW w:w="426" w:type="dxa"/>
            <w:tcBorders/>
          </w:tcPr>
          <w:p>
            <w:pPr>
              <w:pStyle w:val="Normal"/>
              <w:snapToGrid w:val="false"/>
              <w:rPr/>
            </w:pPr>
            <w:r>
              <w:rPr/>
            </w:r>
          </w:p>
        </w:tc>
      </w:tr>
      <w:tr>
        <w:trPr>
          <w:trHeight w:val="440" w:hRule="atLeast"/>
        </w:trPr>
        <w:tc>
          <w:tcPr>
            <w:tcW w:w="1276" w:type="dxa"/>
            <w:tcBorders/>
          </w:tcPr>
          <w:p>
            <w:pPr>
              <w:pStyle w:val="Normal"/>
              <w:rPr>
                <w:b/>
              </w:rPr>
            </w:pPr>
            <w:bookmarkStart w:id="13" w:name="bmkFromTxt"/>
            <w:r>
              <w:rPr>
                <w:b/>
              </w:rPr>
              <w:t>From</w:t>
            </w:r>
            <w:bookmarkEnd w:id="13"/>
            <w:r>
              <w:rPr>
                <w:b/>
              </w:rPr>
              <w:t>:</w:t>
            </w:r>
          </w:p>
        </w:tc>
        <w:tc>
          <w:tcPr>
            <w:tcW w:w="7796" w:type="dxa"/>
            <w:gridSpan w:val="3"/>
            <w:tcBorders/>
          </w:tcPr>
          <w:p>
            <w:pPr>
              <w:pStyle w:val="Normal"/>
              <w:rPr/>
            </w:pPr>
            <w:bookmarkStart w:id="14" w:name="bmkFrom"/>
            <w:r>
              <w:rPr/>
              <w:t>Jonathan Inman</w:t>
            </w:r>
            <w:bookmarkEnd w:id="14"/>
          </w:p>
        </w:tc>
        <w:tc>
          <w:tcPr>
            <w:tcW w:w="426" w:type="dxa"/>
            <w:tcBorders/>
          </w:tcPr>
          <w:p>
            <w:pPr>
              <w:pStyle w:val="Normal"/>
              <w:snapToGrid w:val="false"/>
              <w:rPr/>
            </w:pPr>
            <w:r>
              <w:rPr/>
            </w:r>
          </w:p>
        </w:tc>
      </w:tr>
      <w:tr>
        <w:trPr>
          <w:trHeight w:val="440" w:hRule="atLeast"/>
        </w:trPr>
        <w:tc>
          <w:tcPr>
            <w:tcW w:w="1276" w:type="dxa"/>
            <w:tcBorders/>
          </w:tcPr>
          <w:p>
            <w:pPr>
              <w:pStyle w:val="Normal"/>
              <w:rPr>
                <w:b/>
              </w:rPr>
            </w:pPr>
            <w:bookmarkStart w:id="15" w:name="bmkExtTxt"/>
            <w:r>
              <w:rPr>
                <w:b/>
              </w:rPr>
              <w:t>Ext</w:t>
            </w:r>
            <w:bookmarkEnd w:id="15"/>
            <w:r>
              <w:rPr>
                <w:b/>
              </w:rPr>
              <w:t>:</w:t>
            </w:r>
          </w:p>
        </w:tc>
        <w:tc>
          <w:tcPr>
            <w:tcW w:w="7796" w:type="dxa"/>
            <w:gridSpan w:val="3"/>
            <w:tcBorders/>
          </w:tcPr>
          <w:p>
            <w:pPr>
              <w:pStyle w:val="Normal"/>
              <w:rPr/>
            </w:pPr>
            <w:bookmarkStart w:id="16" w:name="bmkExtNo"/>
            <w:r>
              <w:rPr/>
              <w:t>+813 3568 3801</w:t>
            </w:r>
            <w:bookmarkEnd w:id="16"/>
          </w:p>
        </w:tc>
        <w:tc>
          <w:tcPr>
            <w:tcW w:w="426" w:type="dxa"/>
            <w:tcBorders/>
          </w:tcPr>
          <w:p>
            <w:pPr>
              <w:pStyle w:val="Normal"/>
              <w:snapToGrid w:val="false"/>
              <w:rPr/>
            </w:pPr>
            <w:r>
              <w:rPr/>
            </w:r>
          </w:p>
        </w:tc>
      </w:tr>
      <w:tr>
        <w:trPr>
          <w:trHeight w:val="440" w:hRule="atLeast"/>
        </w:trPr>
        <w:tc>
          <w:tcPr>
            <w:tcW w:w="1276" w:type="dxa"/>
            <w:tcBorders>
              <w:bottom w:val="single" w:sz="4" w:space="0" w:color="000000"/>
            </w:tcBorders>
          </w:tcPr>
          <w:p>
            <w:pPr>
              <w:pStyle w:val="Normal"/>
              <w:rPr>
                <w:b/>
              </w:rPr>
            </w:pPr>
            <w:bookmarkStart w:id="17" w:name="bmkDateTxt"/>
            <w:r>
              <w:rPr>
                <w:b/>
              </w:rPr>
              <w:t>Date</w:t>
            </w:r>
            <w:bookmarkEnd w:id="17"/>
            <w:r>
              <w:rPr>
                <w:b/>
              </w:rPr>
              <w:t>:</w:t>
            </w:r>
          </w:p>
        </w:tc>
        <w:tc>
          <w:tcPr>
            <w:tcW w:w="7796" w:type="dxa"/>
            <w:gridSpan w:val="3"/>
            <w:tcBorders>
              <w:bottom w:val="single" w:sz="4" w:space="0" w:color="000000"/>
            </w:tcBorders>
          </w:tcPr>
          <w:p>
            <w:pPr>
              <w:pStyle w:val="Normal"/>
              <w:rPr/>
            </w:pPr>
            <w:bookmarkStart w:id="18" w:name="bmkDate"/>
            <w:r>
              <w:rPr/>
              <w:t>13 April 2001</w:t>
            </w:r>
            <w:bookmarkEnd w:id="18"/>
          </w:p>
        </w:tc>
        <w:tc>
          <w:tcPr>
            <w:tcW w:w="426" w:type="dxa"/>
            <w:tcBorders/>
          </w:tcPr>
          <w:p>
            <w:pPr>
              <w:pStyle w:val="Normal"/>
              <w:snapToGrid w:val="false"/>
              <w:rPr/>
            </w:pPr>
            <w:r>
              <w:rPr/>
            </w:r>
          </w:p>
        </w:tc>
      </w:tr>
    </w:tbl>
    <w:p>
      <w:pPr>
        <w:pStyle w:val="Normal"/>
        <w:rPr>
          <w:b/>
        </w:rPr>
      </w:pPr>
      <w:r>
        <w:rPr>
          <w:b/>
        </w:rPr>
      </w:r>
    </w:p>
    <w:p>
      <w:pPr>
        <w:pStyle w:val="Heading"/>
        <w:rPr/>
      </w:pPr>
      <w:bookmarkStart w:id="19" w:name="bmkHeading"/>
      <w:bookmarkEnd w:id="19"/>
      <w:r>
        <w:rPr/>
        <w:t>Dabhol PPA - Termination Roundmap</w:t>
      </w:r>
    </w:p>
    <w:p>
      <w:pPr>
        <w:pStyle w:val="Body"/>
        <w:rPr/>
      </w:pPr>
      <w:bookmarkStart w:id="20" w:name="bmkHeading"/>
      <w:bookmarkStart w:id="21" w:name="bmkStart"/>
      <w:bookmarkEnd w:id="20"/>
      <w:bookmarkEnd w:id="21"/>
      <w:r>
        <w:rPr/>
        <w:t xml:space="preserve">This note addresses the options available to DPC in terms of the commencement of the process of termination of the Power Purchase Agreement and its actions thereafter pending termination.  The procedure for termination of the PPA involves initially the service of a Preliminary Termination Notice (“PTN”) (to which in certain cases there are specified pre-conditions).  The grounds upon which DPC can serve a PTN are set out in Clauses 17.2 and 17.4.  The only difference between these two clauses is the method of calculation of the Transfer Amount if DPC exercises its put option following termination, as to which see below.  </w:t>
      </w:r>
    </w:p>
    <w:p>
      <w:pPr>
        <w:pStyle w:val="Level1"/>
        <w:numPr>
          <w:ilvl w:val="0"/>
          <w:numId w:val="27"/>
        </w:numPr>
        <w:ind w:hanging="0" w:start="0"/>
        <w:rPr/>
      </w:pPr>
      <w:r>
        <w:rPr/>
        <w:t>Preliminary Termination Notice - Grounds for Termination</w:t>
      </w:r>
    </w:p>
    <w:p>
      <w:pPr>
        <w:pStyle w:val="Level2"/>
        <w:numPr>
          <w:ilvl w:val="1"/>
          <w:numId w:val="27"/>
        </w:numPr>
        <w:ind w:hanging="0" w:start="0"/>
        <w:rPr>
          <w:b/>
        </w:rPr>
      </w:pPr>
      <w:r>
        <w:rPr>
          <w:b/>
        </w:rPr>
        <w:t>Existing Grounds for Termination</w:t>
      </w:r>
    </w:p>
    <w:p>
      <w:pPr>
        <w:pStyle w:val="Body1"/>
        <w:rPr/>
      </w:pPr>
      <w:r>
        <w:rPr/>
        <w:t>DPC has available to it a right to commence the termination procedure under the PPA by serving a Preliminary Termination Notice under Clause 17.2(a) in respect of non-payment within 21 days of notice of non-payment.  Amounts currently unpaid include approximately 2/3 of the December invoice, the whole of the January invoice, interest on late payments and certain other disputed items on bills during the period June 1999 - November 2000.</w:t>
      </w:r>
    </w:p>
    <w:p>
      <w:pPr>
        <w:pStyle w:val="Level2"/>
        <w:keepNext w:val="true"/>
        <w:numPr>
          <w:ilvl w:val="1"/>
          <w:numId w:val="27"/>
        </w:numPr>
        <w:ind w:hanging="677" w:start="677" w:end="0"/>
        <w:rPr/>
      </w:pPr>
      <w:r>
        <w:rPr>
          <w:b/>
        </w:rPr>
        <w:t>Potential/future Grounds for Termination</w:t>
      </w:r>
    </w:p>
    <w:p>
      <w:pPr>
        <w:pStyle w:val="alpha2"/>
        <w:numPr>
          <w:ilvl w:val="0"/>
          <w:numId w:val="5"/>
        </w:numPr>
        <w:ind w:hanging="0" w:start="0"/>
        <w:rPr>
          <w:b/>
        </w:rPr>
      </w:pPr>
      <w:r>
        <w:rPr>
          <w:b/>
        </w:rPr>
        <w:t xml:space="preserve">Clause 17.2(c) - repudiation  </w:t>
      </w:r>
      <w:r>
        <w:rPr/>
        <w:t>If MSEB “repudiates, or otherwise evidences an intention not to be bound “ by the PPA</w:t>
      </w:r>
      <w:r>
        <w:rPr>
          <w:b/>
        </w:rPr>
        <w:t>.</w:t>
      </w:r>
    </w:p>
    <w:p>
      <w:pPr>
        <w:pStyle w:val="Body3"/>
        <w:rPr/>
      </w:pPr>
      <w:r>
        <w:rPr/>
        <w:t>In respect of Phase I alone it would seem to be difficult to make such an allegation.  MSEB is disputing payment on contractual grounds, has part paid in respect of December and has paid the whole of the February bill.</w:t>
      </w:r>
    </w:p>
    <w:p>
      <w:pPr>
        <w:pStyle w:val="Body3"/>
        <w:rPr/>
      </w:pPr>
      <w:r>
        <w:rPr/>
        <w:t>There is an argument that certain of MSEB’s actions in relation to the misdeclaration issue amount to repudiation. We do not think that such an argument is sustainable.</w:t>
      </w:r>
    </w:p>
    <w:p>
      <w:pPr>
        <w:pStyle w:val="Body3"/>
        <w:rPr/>
      </w:pPr>
      <w:r>
        <w:rPr/>
        <w:t>However, the position may be radically different in respect of Phase II, especially if one or both of the Phase II Blocks achieves ECS, thus doubling or tripling the monthly Capacity Payments.  Statements already made by MSEB in respect of their inability to absorb the capacity of Phase II may already amount to an anticipatory breach and/or constitute evidence of an intention not to be bound by the Capacity Payment obligations once Phase II comes on line.  But on the basis of evidence available at present (which is limited to verbal statements made by the MSEB Chairman that he may well deny having made), this would not be a strong basis for termination.</w:t>
      </w:r>
    </w:p>
    <w:p>
      <w:pPr>
        <w:pStyle w:val="alpha2"/>
        <w:numPr>
          <w:ilvl w:val="0"/>
          <w:numId w:val="5"/>
        </w:numPr>
        <w:ind w:hanging="0" w:start="0"/>
        <w:rPr>
          <w:b/>
        </w:rPr>
      </w:pPr>
      <w:r>
        <w:rPr>
          <w:b/>
        </w:rPr>
        <w:t xml:space="preserve">Clause 17.4(c) - exercise of executive power  </w:t>
      </w:r>
      <w:r>
        <w:rPr/>
        <w:t>If any of GOI, GOM, MSEB, a Competent Authority or a State-owned Entity exercises an executive power which prejudices DPC’s or the Lenders’ enjoyment of the rights under the Project Contracts of the Financing Agreements, or prejudices the performance by DPC, the Lenders, the Contractor or the Operator of the Project Contracts or the Financing Agreements.</w:t>
      </w:r>
    </w:p>
    <w:p>
      <w:pPr>
        <w:pStyle w:val="Body3"/>
        <w:rPr/>
      </w:pPr>
      <w:r>
        <w:rPr/>
        <w:t>This may be problematic from the point of view of contractual interpretation.  Clause 17.4(c) also refers to “act of state” and it is arguable that what was intended to be covered here is something on a grander scale than the series of relatively minor examples we have to date been able to identify.  There is also here an issue of causation, because we must show that the exercise of executive power is what has caused DPC, for instance, to lose the benefit of its rights under the Financing Agreements or to be unable to perform its obligations under the Project Agreements.</w:t>
      </w:r>
    </w:p>
    <w:p>
      <w:pPr>
        <w:pStyle w:val="Body3"/>
        <w:rPr/>
      </w:pPr>
      <w:r>
        <w:rPr/>
        <w:t>However, no notice period is required, and to the extent that we believe the criteria are currently satisfied (e.g. by the GOM decisions (a) to appoint the Energy Review Committee and/or (b) not to pay under the GOM Guarantee) a PTN can be served immediately.</w:t>
      </w:r>
    </w:p>
    <w:p>
      <w:pPr>
        <w:pStyle w:val="Body3"/>
        <w:rPr/>
      </w:pPr>
      <w:r>
        <w:rPr/>
        <w:t xml:space="preserve">The Omnibus PFM notice given to MSEB under the PPA and the Notice of Arbitration served on GOM under the SSA set out a number of facts that could be argued to qualify under the clause. </w:t>
      </w:r>
    </w:p>
    <w:p>
      <w:pPr>
        <w:pStyle w:val="alpha2"/>
        <w:numPr>
          <w:ilvl w:val="0"/>
          <w:numId w:val="5"/>
        </w:numPr>
        <w:ind w:hanging="0" w:start="0"/>
        <w:rPr/>
      </w:pPr>
      <w:r>
        <w:rPr>
          <w:b/>
        </w:rPr>
        <w:t xml:space="preserve">Clause 17.4(d) - GOI/GOM default  </w:t>
      </w:r>
      <w:r>
        <w:rPr/>
        <w:t>If either GOI or GOM defaults under its obligations under the GOI Guarantee, GOM Guarantee, GOM Support Agreement or the Security Package, and this has the effect of prejudicing DPC/Lenders’ enjoyment of rights, DPC/Lenders/Contractor/Operator’s performance or DPC’s right to transfer foreign currency to the sponsors.</w:t>
      </w:r>
    </w:p>
    <w:p>
      <w:pPr>
        <w:pStyle w:val="Body3"/>
        <w:rPr/>
      </w:pPr>
      <w:r>
        <w:rPr/>
        <w:t>It is a pre-condition to the service of a PTN under this clause that DPC has given notice of the relevant default (presumably to the defaulting party, though this is not specified) and that the default has not been remedied within 60 days of the notice.</w:t>
      </w:r>
    </w:p>
    <w:p>
      <w:pPr>
        <w:pStyle w:val="Body3"/>
        <w:rPr/>
      </w:pPr>
      <w:r>
        <w:rPr/>
        <w:t>At present, the failure of GOM and GOI to pay under their respective Guarantees, and the various breaches by GOM of the State Support Agreement would all seem to qualify under this clause.  Rights to serve a PTNs in these respects are therefore likely to arise in the first part of May when the 60 day notice periods in respect of these breaches expire.</w:t>
      </w:r>
    </w:p>
    <w:p>
      <w:pPr>
        <w:pStyle w:val="Body3"/>
        <w:rPr/>
      </w:pPr>
      <w:r>
        <w:rPr/>
        <w:t>In addition, we have the prospect of a failure by Canara Bank (they qualify as a State-Owned Entity) to pay under the MSEB Letter of Credit (which forms part of the Security Package.</w:t>
      </w:r>
    </w:p>
    <w:p>
      <w:pPr>
        <w:pStyle w:val="alpha2"/>
        <w:numPr>
          <w:ilvl w:val="0"/>
          <w:numId w:val="5"/>
        </w:numPr>
        <w:ind w:hanging="0" w:start="0"/>
        <w:rPr/>
      </w:pPr>
      <w:r>
        <w:rPr>
          <w:b/>
        </w:rPr>
        <w:t xml:space="preserve">Clause 17.4(c) - Change in Law  </w:t>
      </w:r>
      <w:r>
        <w:rPr/>
        <w:t>If a Change in Law (which includes the failure to grant or non-renewal of Clearances) has one of a number of effects, including the making of payments or the performance of obligations under various agreements becoming unenforceable or illegal, or restricts DPC’s distribution of profits to shareholders.</w:t>
      </w:r>
    </w:p>
    <w:p>
      <w:pPr>
        <w:pStyle w:val="Body3"/>
        <w:rPr/>
      </w:pPr>
      <w:r>
        <w:rPr/>
        <w:t>The most likely candidate in this respect is some withdrawal of Clearances that prevents operation of the plant or construction/testing/commissioning of Phase II.  If DPC continues to attempt to complete Phase II, this may trigger actions by MSEB or GOM/GOI to prevent DPC from doing so which would qualify under this clause.</w:t>
      </w:r>
    </w:p>
    <w:p>
      <w:pPr>
        <w:pStyle w:val="Level1"/>
        <w:numPr>
          <w:ilvl w:val="0"/>
          <w:numId w:val="27"/>
        </w:numPr>
        <w:ind w:hanging="0" w:start="0"/>
        <w:rPr/>
      </w:pPr>
      <w:r>
        <w:rPr/>
        <w:t>Preliminary Termination Notice - Strategic Considerations</w:t>
      </w:r>
    </w:p>
    <w:p>
      <w:pPr>
        <w:pStyle w:val="Body"/>
        <w:rPr/>
      </w:pPr>
      <w:r>
        <w:rPr/>
        <w:t>A couple of points are worth bearing in mind in the context of the overall strategy of deciding what PTNs to serve and when:</w:t>
      </w:r>
    </w:p>
    <w:p>
      <w:pPr>
        <w:pStyle w:val="Level2"/>
        <w:numPr>
          <w:ilvl w:val="1"/>
          <w:numId w:val="27"/>
        </w:numPr>
        <w:ind w:hanging="0" w:start="0"/>
        <w:rPr/>
      </w:pPr>
      <w:r>
        <w:rPr>
          <w:b/>
        </w:rPr>
        <w:t>17.2 vs. 17.4 - Transfer Amount</w:t>
      </w:r>
    </w:p>
    <w:p>
      <w:pPr>
        <w:pStyle w:val="Body2"/>
        <w:rPr/>
      </w:pPr>
      <w:r>
        <w:rPr/>
        <w:t xml:space="preserve">Stated </w:t>
      </w:r>
      <w:r>
        <w:rPr>
          <w:b/>
        </w:rPr>
        <w:t>very</w:t>
      </w:r>
      <w:r>
        <w:rPr/>
        <w:t xml:space="preserve"> broadly, DPC receives full compensation (the Revenue Compensation Amount or “RCA”) for loss of profit in the case of 17.2 termination in respect of completed parts of the Project whereas under 17.4 termination only about 50% of the loss of profit element is likely to be recoverable (because the amount is calculated as the average of the RCA and the depreciated replacement cost value - “DRC”).</w:t>
      </w:r>
    </w:p>
    <w:p>
      <w:pPr>
        <w:pStyle w:val="Body1"/>
        <w:rPr/>
      </w:pPr>
      <w:r>
        <w:rPr/>
        <w:t>In relation to uncompleted parts of the Project, there is unlikely to be any significant difference under the two termination scenarios.  Clause 17.2 give DPC the “Construction Period Take-out” which is broadly the amount of debt and equity expended on those elements of the Project.  Clause 17.4 gives the depreciated replacement cost.</w:t>
      </w:r>
    </w:p>
    <w:p>
      <w:pPr>
        <w:pStyle w:val="Level2"/>
        <w:numPr>
          <w:ilvl w:val="1"/>
          <w:numId w:val="27"/>
        </w:numPr>
        <w:ind w:hanging="0" w:start="0"/>
        <w:rPr>
          <w:b/>
        </w:rPr>
      </w:pPr>
      <w:r>
        <w:rPr>
          <w:b/>
        </w:rPr>
        <w:t>“</w:t>
      </w:r>
      <w:r>
        <w:rPr>
          <w:b/>
        </w:rPr>
        <w:t>Curability”</w:t>
      </w:r>
    </w:p>
    <w:p>
      <w:pPr>
        <w:pStyle w:val="Body2"/>
        <w:rPr>
          <w:b/>
        </w:rPr>
      </w:pPr>
      <w:r>
        <w:rPr/>
        <w:t>It should be noted that the PPA termination procedure allows for a “Suspension Period” of 6 months between service of a Preliminary Termination Notice and the service of a “Termination Notice” (at which time termination actually takes effect).  If “the circumstances giving rise to the Preliminary Termination Notice” are remedied during this 6-month period, the right to serve the Termination Notice lapses. Some of the grounds for service of a PTN are more prone to being cured during the Suspension period than others.</w:t>
      </w:r>
    </w:p>
    <w:p>
      <w:pPr>
        <w:pStyle w:val="alpha2"/>
        <w:numPr>
          <w:ilvl w:val="0"/>
          <w:numId w:val="29"/>
        </w:numPr>
        <w:ind w:hanging="0" w:start="0"/>
        <w:rPr>
          <w:b/>
        </w:rPr>
      </w:pPr>
      <w:r>
        <w:rPr>
          <w:b/>
        </w:rPr>
        <w:t>Non-payment</w:t>
      </w:r>
    </w:p>
    <w:p>
      <w:pPr>
        <w:pStyle w:val="Body3"/>
        <w:rPr/>
      </w:pPr>
      <w:r>
        <w:rPr/>
        <w:t xml:space="preserve">The simplest and clearest basis for termination, non-payment, is clearly very vulnerable to this assuming MSEB/GOM are able to get hold of funding.  And until Phase II achieves ECS, all the Capacity and Energy Payments are guaranteed by GOI, so that there is also a risk of GOI making payment.  </w:t>
      </w:r>
    </w:p>
    <w:p>
      <w:pPr>
        <w:pStyle w:val="Body3"/>
        <w:rPr/>
      </w:pPr>
      <w:r>
        <w:rPr/>
        <w:t>We have already seen that the MSEB/GOM strategy does not seem to be simply to starve DPC of cash.  MSEB made a partial payment of the December invoice notwithstanding that it was arguing for a right to set-off rebates that, had it been a good argument, would have allowed it to pay nothing.  Similarly, in an unexpected turn of events MSEB has paid the February invoice, in relation to which their set-off argument is no better or worse than the argument in respect of the non-payment of the December invoice.</w:t>
      </w:r>
    </w:p>
    <w:p>
      <w:pPr>
        <w:pStyle w:val="Body3"/>
        <w:rPr/>
      </w:pPr>
      <w:r>
        <w:rPr/>
        <w:t>From GOI’s point of view it may make sense to make payments prior to Phase II coming on stream because:</w:t>
      </w:r>
    </w:p>
    <w:p>
      <w:pPr>
        <w:pStyle w:val="Bullet3"/>
        <w:numPr>
          <w:ilvl w:val="0"/>
          <w:numId w:val="9"/>
        </w:numPr>
        <w:ind w:hanging="0" w:start="0"/>
        <w:rPr/>
      </w:pPr>
      <w:r>
        <w:rPr/>
        <w:t>GOI is protected by its “Tripartite Agreement” that allows it to recover monies paid to DPC from GOM’s central devolution;</w:t>
      </w:r>
    </w:p>
    <w:p>
      <w:pPr>
        <w:pStyle w:val="Bullet3"/>
        <w:numPr>
          <w:ilvl w:val="0"/>
          <w:numId w:val="9"/>
        </w:numPr>
        <w:ind w:hanging="0" w:start="0"/>
        <w:rPr/>
      </w:pPr>
      <w:r>
        <w:rPr/>
        <w:t>preventing DPC from terminating avoids the risk of having to pay the Termination Payment under the GOI Guarantee; and</w:t>
      </w:r>
    </w:p>
    <w:p>
      <w:pPr>
        <w:pStyle w:val="Bullet3"/>
        <w:numPr>
          <w:ilvl w:val="0"/>
          <w:numId w:val="9"/>
        </w:numPr>
        <w:ind w:hanging="0" w:start="0"/>
        <w:rPr/>
      </w:pPr>
      <w:r>
        <w:rPr/>
        <w:t>politically, this may be seen as putting increased pressure on GOM, which is controlled by political opponents of those in power in Delhi.</w:t>
      </w:r>
    </w:p>
    <w:p>
      <w:pPr>
        <w:pStyle w:val="Body3"/>
        <w:rPr/>
      </w:pPr>
      <w:r>
        <w:rPr/>
        <w:t xml:space="preserve">On the other hand, if GOI sees termination as inevitable, it may prefer to allow this to happen sooner rather than later in order to minimise its exposure to monthly Capacity and Energy Payments in the meantime. </w:t>
      </w:r>
    </w:p>
    <w:p>
      <w:pPr>
        <w:pStyle w:val="Body3"/>
        <w:rPr/>
      </w:pPr>
      <w:r>
        <w:rPr/>
        <w:t>In addition, DPC needs to bear in mind that if Canara Bank pays under the Letter of Credit, DPC may fell obliged to apply this money against the longest outstanding invoices, thus potentially clearing the arrears upon which we are relying for termination purposes.</w:t>
      </w:r>
    </w:p>
    <w:p>
      <w:pPr>
        <w:pStyle w:val="Body3"/>
        <w:rPr/>
      </w:pPr>
      <w:r>
        <w:rPr/>
        <w:t>For the above reasons, it will be important to serve PTNs in respect of each and every non-payment following the initial PTN, so that the right to terminate is kept alive in case payment is made. The curability of the non-payment default does mean however that even in the case of chronic late payment, MSEB can continue to stave off actual termination by making payments within the 6 month deadline, and so there is built-in to the PPA an effective 6 months’ worth of additional credit for MSEB, albeit at penal interest rates.</w:t>
      </w:r>
    </w:p>
    <w:p>
      <w:pPr>
        <w:pStyle w:val="alpha2"/>
        <w:numPr>
          <w:ilvl w:val="0"/>
          <w:numId w:val="5"/>
        </w:numPr>
        <w:ind w:hanging="0" w:start="0"/>
        <w:rPr>
          <w:b/>
        </w:rPr>
      </w:pPr>
      <w:r>
        <w:rPr>
          <w:b/>
        </w:rPr>
        <w:t>Repudiation</w:t>
      </w:r>
    </w:p>
    <w:p>
      <w:pPr>
        <w:pStyle w:val="Body3"/>
        <w:rPr/>
      </w:pPr>
      <w:r>
        <w:rPr/>
        <w:t>If DPC had more time, repudiation might prove to be the safest option.  As mentioned above, we do not see that there are clear grounds for arguing repudiation at present.  But as ECS of Phase II approaches, there is the possibility that panic will set in at GOM/MSEB and that, whether by means of the Energy Review Committee, the MERC or otherwise, they will take steps wholly inconsistent with MSEB’s obligation to accept and pay for Dabhol as a 1400/2100 MW power station.</w:t>
      </w:r>
    </w:p>
    <w:p>
      <w:pPr>
        <w:pStyle w:val="Body3"/>
        <w:rPr/>
      </w:pPr>
      <w:r>
        <w:rPr/>
        <w:t>Whether or not these steps will be capable of remedy will very much depend upon the exact nature of the facts.  But it is likely to be in the nature of a repudiation that both practically and taking into account political considerations it will be difficult to cure.</w:t>
      </w:r>
    </w:p>
    <w:p>
      <w:pPr>
        <w:pStyle w:val="alpha2"/>
        <w:numPr>
          <w:ilvl w:val="0"/>
          <w:numId w:val="5"/>
        </w:numPr>
        <w:ind w:hanging="0" w:start="0"/>
        <w:rPr>
          <w:b/>
        </w:rPr>
      </w:pPr>
      <w:r>
        <w:rPr>
          <w:b/>
        </w:rPr>
        <w:t>Exercise of executive power</w:t>
      </w:r>
    </w:p>
    <w:p>
      <w:pPr>
        <w:pStyle w:val="Body3"/>
        <w:rPr/>
      </w:pPr>
      <w:r>
        <w:rPr/>
        <w:t>If circumstances arise under this clause giving rise to a right to serve a PTN, such circumstances could theoretically be cured within the Suspension Period so that the right to terminate would lapse.  However, the political reality of the situation surrounding GOM’s withdrawal of support of the Project is likely to dictate that no such cure would be effected.</w:t>
      </w:r>
    </w:p>
    <w:p>
      <w:pPr>
        <w:pStyle w:val="alpha2"/>
        <w:numPr>
          <w:ilvl w:val="0"/>
          <w:numId w:val="5"/>
        </w:numPr>
        <w:ind w:hanging="0" w:start="0"/>
        <w:rPr>
          <w:b/>
        </w:rPr>
      </w:pPr>
      <w:r>
        <w:rPr>
          <w:b/>
        </w:rPr>
        <w:t>GOI/GOM Default</w:t>
      </w:r>
    </w:p>
    <w:p>
      <w:pPr>
        <w:pStyle w:val="Body3"/>
        <w:rPr/>
      </w:pPr>
      <w:r>
        <w:rPr/>
        <w:t>We suspect that this may ultimately be the safest basis on which to terminate the PPA.</w:t>
      </w:r>
    </w:p>
    <w:p>
      <w:pPr>
        <w:pStyle w:val="Body3"/>
        <w:rPr/>
      </w:pPr>
      <w:r>
        <w:rPr/>
        <w:t>In the case of the non-payment under the GOI/GOM Guarantees, there is of course the risk of payment being made that would remedy the default.  However, what must be remedied under Clause 17.8(c) are the “circumstances giving rise to the [PTN]”.  Our view is that the circumstance in question under 17.4(d) is the failure to remedy the non-payment within the 60 day notice period referred to.  Once the 60 day period has expired without the default having been remedied, there is a strong argument that remedy thereafter is no longer possible.</w:t>
      </w:r>
    </w:p>
    <w:p>
      <w:pPr>
        <w:pStyle w:val="Body3"/>
        <w:rPr/>
      </w:pPr>
      <w:r>
        <w:rPr/>
        <w:t>In the case of breach of the GOM Support Agreement, we are relying on a more amorphous set of facts to show the withdrawal of GOM’s support for the project.  Some of these fact, though, are fairly compelling, as a reading of the Notice of Arbitration under the GOM Support Agreement will reveal.  Remedying these defaults may be politically impossible for GOM even within the 6 month rather than 60 day period.</w:t>
      </w:r>
    </w:p>
    <w:p>
      <w:pPr>
        <w:pStyle w:val="alpha2"/>
        <w:numPr>
          <w:ilvl w:val="0"/>
          <w:numId w:val="5"/>
        </w:numPr>
        <w:ind w:hanging="0" w:start="0"/>
        <w:rPr>
          <w:b/>
        </w:rPr>
      </w:pPr>
      <w:r>
        <w:rPr>
          <w:b/>
        </w:rPr>
        <w:t>Change in Law</w:t>
      </w:r>
    </w:p>
    <w:p>
      <w:pPr>
        <w:pStyle w:val="Body3"/>
        <w:rPr/>
      </w:pPr>
      <w:r>
        <w:rPr/>
        <w:t>Given that the basis for Change in Law is most likely to be the failure to grant or withdrawal of a Clearance to which DPC is properly entitled, relying on such circumstances in order to terminate the PPA must carry a high risk that the relevant Clearance would be granted within the 6 month Suspension Period, thus preventing service of the Termination Notice.</w:t>
      </w:r>
    </w:p>
    <w:p>
      <w:pPr>
        <w:pStyle w:val="Level1"/>
        <w:numPr>
          <w:ilvl w:val="0"/>
          <w:numId w:val="27"/>
        </w:numPr>
        <w:ind w:hanging="0" w:start="0"/>
        <w:rPr/>
      </w:pPr>
      <w:r>
        <w:rPr/>
        <w:t>Phase II Construction</w:t>
      </w:r>
    </w:p>
    <w:p>
      <w:pPr>
        <w:pStyle w:val="Body"/>
        <w:rPr/>
      </w:pPr>
      <w:r>
        <w:rPr/>
        <w:t>One of the key strategic decisions DPC has to take in the run-up to and following the service of a PTN is whether or not to continue with the construction of, and seek to achieve Entry into Commercial Service (“ECS”) of Block B, Block C and the LNG Facility;</w:t>
      </w:r>
    </w:p>
    <w:p>
      <w:pPr>
        <w:pStyle w:val="Level2"/>
        <w:numPr>
          <w:ilvl w:val="1"/>
          <w:numId w:val="27"/>
        </w:numPr>
        <w:ind w:hanging="0" w:start="0"/>
        <w:rPr/>
      </w:pPr>
      <w:r>
        <w:rPr>
          <w:b/>
        </w:rPr>
        <w:t>PPA Obligations</w:t>
      </w:r>
    </w:p>
    <w:p>
      <w:pPr>
        <w:pStyle w:val="Body1"/>
        <w:rPr/>
      </w:pPr>
      <w:r>
        <w:rPr/>
        <w:t>DPC has an obligation to achieve ECS of the Phase II power Blocks on or before the relevant Target Completion  Date.  For Block B this is [1] July 2001 and for Block C it is [1] November 2001.</w:t>
      </w:r>
    </w:p>
    <w:p>
      <w:pPr>
        <w:pStyle w:val="Body1"/>
        <w:rPr/>
      </w:pPr>
      <w:r>
        <w:rPr/>
        <w:t>This obligation is subject to extensions arising out of:</w:t>
      </w:r>
    </w:p>
    <w:p>
      <w:pPr>
        <w:pStyle w:val="Bullet2"/>
        <w:numPr>
          <w:ilvl w:val="0"/>
          <w:numId w:val="26"/>
        </w:numPr>
        <w:ind w:hanging="0" w:start="0"/>
        <w:rPr/>
      </w:pPr>
      <w:r>
        <w:rPr/>
        <w:t xml:space="preserve">delays in the achievement of Financial Close (which took place 66 days after the Target Closing Date) thus giving rise </w:t>
      </w:r>
      <w:r>
        <w:rPr>
          <w:i/>
        </w:rPr>
        <w:t>prima facie</w:t>
      </w:r>
      <w:r>
        <w:rPr/>
        <w:t xml:space="preserve"> to an entitlement to a 66 day extension;</w:t>
      </w:r>
    </w:p>
    <w:p>
      <w:pPr>
        <w:pStyle w:val="Bullet2"/>
        <w:numPr>
          <w:ilvl w:val="0"/>
          <w:numId w:val="26"/>
        </w:numPr>
        <w:ind w:hanging="0" w:start="0"/>
        <w:rPr/>
      </w:pPr>
      <w:r>
        <w:rPr/>
        <w:t>delays occurring during construction as a result of force Majeure, including the Political Force Majeure events alleged in the PFM notice served on MSEB.</w:t>
      </w:r>
    </w:p>
    <w:p>
      <w:pPr>
        <w:pStyle w:val="Bullet2"/>
        <w:numPr>
          <w:ilvl w:val="0"/>
          <w:numId w:val="0"/>
        </w:numPr>
        <w:ind w:hanging="0" w:start="680" w:end="0"/>
        <w:rPr/>
      </w:pPr>
      <w:r>
        <w:rPr/>
        <w:t>There is no specified completion date for the LNG Facility, but DPC does undertake a general obligation to build it under Clause 4.2.</w:t>
      </w:r>
    </w:p>
    <w:p>
      <w:pPr>
        <w:pStyle w:val="Level2"/>
        <w:numPr>
          <w:ilvl w:val="1"/>
          <w:numId w:val="27"/>
        </w:numPr>
        <w:ind w:hanging="0" w:start="0"/>
        <w:rPr/>
      </w:pPr>
      <w:r>
        <w:rPr>
          <w:b/>
        </w:rPr>
        <w:t>Contractual Consequences of Construction Suspension/Failure to Achieve ECS</w:t>
      </w:r>
    </w:p>
    <w:p>
      <w:pPr>
        <w:pStyle w:val="Body2"/>
        <w:rPr/>
      </w:pPr>
      <w:r>
        <w:rPr/>
        <w:t>The suspension of contractual of Phase II has potentially the following contractual consequences under the PPA:</w:t>
      </w:r>
    </w:p>
    <w:p>
      <w:pPr>
        <w:pStyle w:val="alpha2"/>
        <w:numPr>
          <w:ilvl w:val="0"/>
          <w:numId w:val="30"/>
        </w:numPr>
        <w:ind w:hanging="0" w:start="0"/>
        <w:rPr/>
      </w:pPr>
      <w:r>
        <w:rPr/>
        <w:t>If DPC has failed to achieve ECS of any of Block B, Block C or the LNG Facility as of the date of preparation of the final Termination Statement (immediately prior to the service of the final Termination Notice) then the RCA in respect of those parts of the Project is calculated solely by reference to the cost of construction to date, and no loss of future revenues in respect of those parts are taken into account.  This applies irrespective of whether or not the delay is excused by Force Majeure.</w:t>
      </w:r>
    </w:p>
    <w:p>
      <w:pPr>
        <w:pStyle w:val="alpha2"/>
        <w:numPr>
          <w:ilvl w:val="0"/>
          <w:numId w:val="5"/>
        </w:numPr>
        <w:ind w:hanging="0" w:start="0"/>
        <w:rPr/>
      </w:pPr>
      <w:r>
        <w:rPr/>
        <w:t>If ECS of Block B and/or C is delayed beyond the Target Completion Date, DPC must pay liquidated damages for delay to MSEB.  The amounts are:</w:t>
      </w:r>
    </w:p>
    <w:p>
      <w:pPr>
        <w:pStyle w:val="Bullet3"/>
        <w:numPr>
          <w:ilvl w:val="0"/>
          <w:numId w:val="9"/>
        </w:numPr>
        <w:ind w:hanging="0" w:start="0"/>
        <w:rPr/>
      </w:pPr>
      <w:r>
        <w:rPr/>
        <w:t>$18,200 per day for Block B delays</w:t>
      </w:r>
    </w:p>
    <w:p>
      <w:pPr>
        <w:pStyle w:val="Bullet3"/>
        <w:numPr>
          <w:ilvl w:val="0"/>
          <w:numId w:val="9"/>
        </w:numPr>
        <w:ind w:hanging="0" w:start="0"/>
        <w:rPr/>
      </w:pPr>
      <w:r>
        <w:rPr/>
        <w:t>a further $18,200 per day for the first 180 days of Block C delays</w:t>
      </w:r>
    </w:p>
    <w:p>
      <w:pPr>
        <w:pStyle w:val="Bullet3"/>
        <w:numPr>
          <w:ilvl w:val="0"/>
          <w:numId w:val="9"/>
        </w:numPr>
        <w:ind w:hanging="0" w:start="0"/>
        <w:rPr/>
      </w:pPr>
      <w:r>
        <w:rPr/>
        <w:t>$250,000 per day thereafter if Block B is still not complete</w:t>
      </w:r>
    </w:p>
    <w:p>
      <w:pPr>
        <w:pStyle w:val="Bullet3"/>
        <w:numPr>
          <w:ilvl w:val="0"/>
          <w:numId w:val="9"/>
        </w:numPr>
        <w:ind w:hanging="0" w:start="0"/>
        <w:rPr/>
      </w:pPr>
      <w:r>
        <w:rPr/>
        <w:t>$125,000 per day thereafter if Block B is complete.</w:t>
      </w:r>
    </w:p>
    <w:p>
      <w:pPr>
        <w:pStyle w:val="Body3"/>
        <w:rPr/>
      </w:pPr>
      <w:r>
        <w:rPr/>
        <w:t>These damages may be avoided if DPC is successfully able to claim that construction was delayed due to Force Majeure.</w:t>
      </w:r>
    </w:p>
    <w:p>
      <w:pPr>
        <w:pStyle w:val="alpha2"/>
        <w:numPr>
          <w:ilvl w:val="0"/>
          <w:numId w:val="5"/>
        </w:numPr>
        <w:ind w:hanging="0" w:start="0"/>
        <w:rPr/>
      </w:pPr>
      <w:r>
        <w:rPr/>
        <w:t>There are no damages payable in respect of delays in completion of the LNG Facility, but if take-or-pay payments arise in such circumstances, DPC will be fully liable for such payments, and DPC may also have an obligation to generate electricity using liquid fuel whilst only being entitled to recover the cost of regasified LNG.</w:t>
      </w:r>
    </w:p>
    <w:p>
      <w:pPr>
        <w:pStyle w:val="alpha2"/>
        <w:numPr>
          <w:ilvl w:val="0"/>
          <w:numId w:val="5"/>
        </w:numPr>
        <w:ind w:hanging="0" w:start="0"/>
        <w:rPr/>
      </w:pPr>
      <w:r>
        <w:rPr/>
        <w:t>DPC also suffers loss of income in respect of the Capacity Payments where either or both of the Blocks is delayed and in respect of the Regasification, Shipping and Harbour Services Charges if the LNG Facility is delayed.  This loss of income cannot be recovered by claiming Political Force Majeure, unless the PFM constitutes a Change in Law, in which case the loss of profit is passed through and recovered in future tariff payments.</w:t>
      </w:r>
    </w:p>
    <w:p>
      <w:pPr>
        <w:pStyle w:val="alpha2"/>
        <w:numPr>
          <w:ilvl w:val="0"/>
          <w:numId w:val="5"/>
        </w:numPr>
        <w:ind w:hanging="0" w:start="0"/>
        <w:rPr/>
      </w:pPr>
      <w:r>
        <w:rPr/>
        <w:t>Delays in Phase II construction, whether excused by Force Majeure or not, will also give rise to a corresponding delay in those obligations of MSEB that are linked to the date or anticipated date of Phase II ECS, such as the obligation to increase the amount fo the MSEB L/C, and the obligation to complete the Transmission Line.</w:t>
      </w:r>
    </w:p>
    <w:p>
      <w:pPr>
        <w:pStyle w:val="alpha2"/>
        <w:numPr>
          <w:ilvl w:val="0"/>
          <w:numId w:val="5"/>
        </w:numPr>
        <w:ind w:hanging="0" w:start="0"/>
        <w:rPr/>
      </w:pPr>
      <w:r>
        <w:rPr/>
        <w:t>DPC will lose the opportunity it has upon ECS of the Phase II Blocks to submit revised ramp-up curves in substitution for those in Schedule 6 (i.e. the curves MSEB have relied upon in order to claim misdeclaration).</w:t>
      </w:r>
    </w:p>
    <w:p>
      <w:pPr>
        <w:pStyle w:val="Level2"/>
        <w:numPr>
          <w:ilvl w:val="1"/>
          <w:numId w:val="27"/>
        </w:numPr>
        <w:ind w:hanging="0" w:start="0"/>
        <w:rPr/>
      </w:pPr>
      <w:r>
        <w:rPr>
          <w:b/>
        </w:rPr>
        <w:t>Risk of MSEB Termination</w:t>
      </w:r>
    </w:p>
    <w:p>
      <w:pPr>
        <w:pStyle w:val="Body2"/>
        <w:rPr/>
      </w:pPr>
      <w:r>
        <w:rPr/>
        <w:t>Suspension of Phase II confirmation exposes DPC to the following risks of PPA termination by MSEB:</w:t>
      </w:r>
    </w:p>
    <w:p>
      <w:pPr>
        <w:pStyle w:val="alpha2"/>
        <w:numPr>
          <w:ilvl w:val="0"/>
          <w:numId w:val="31"/>
        </w:numPr>
        <w:ind w:hanging="0" w:start="0"/>
        <w:rPr/>
      </w:pPr>
      <w:r>
        <w:rPr/>
        <w:t>Clause 17.3(c)(i) allows MSEB to serve a PTN if DPC abandons the construction of either Phase for more than 45 consecutive days.</w:t>
      </w:r>
    </w:p>
    <w:p>
      <w:pPr>
        <w:pStyle w:val="Body3"/>
        <w:rPr/>
      </w:pPr>
      <w:r>
        <w:rPr/>
        <w:t xml:space="preserve">However, this right of termination is excluded if the reason for abandonment is Force Majeure, a breach of the GOI Guarantee, the GOM Guarantee or the GOM Support Agreement. </w:t>
      </w:r>
    </w:p>
    <w:p>
      <w:pPr>
        <w:pStyle w:val="Body3"/>
        <w:rPr/>
      </w:pPr>
      <w:r>
        <w:rPr/>
        <w:t>Note however that because the grounds for termination specify a particular period of abandonment, it is arguable that once this period has been exceeded, the breach is no longer capable of remedy.</w:t>
      </w:r>
    </w:p>
    <w:p>
      <w:pPr>
        <w:pStyle w:val="alpha2"/>
        <w:numPr>
          <w:ilvl w:val="0"/>
          <w:numId w:val="5"/>
        </w:numPr>
        <w:ind w:hanging="0" w:start="0"/>
        <w:rPr/>
      </w:pPr>
      <w:r>
        <w:rPr/>
        <w:t xml:space="preserve">Clause 17.3(i) allows MSEB to serve a PTN for DPC’s “repudiation”.  </w:t>
      </w:r>
    </w:p>
    <w:p>
      <w:pPr>
        <w:pStyle w:val="Body3"/>
        <w:rPr/>
      </w:pPr>
      <w:r>
        <w:rPr/>
        <w:t>Again, DPC would be able to defend this termination if it is able to show that the interruption in construction is due to Force Majeure.</w:t>
      </w:r>
    </w:p>
    <w:p>
      <w:pPr>
        <w:pStyle w:val="alpha2"/>
        <w:numPr>
          <w:ilvl w:val="0"/>
          <w:numId w:val="5"/>
        </w:numPr>
        <w:ind w:hanging="0" w:start="0"/>
        <w:rPr/>
      </w:pPr>
      <w:r>
        <w:rPr/>
        <w:t>Clause 17.3(d)(i) allows MSEB to serve a PTN if DPC terminates the Construction contract without MSEB’s consent unless for good cause or by reason of the Contractor’s default.</w:t>
      </w:r>
    </w:p>
    <w:p>
      <w:pPr>
        <w:pStyle w:val="Body3"/>
        <w:rPr/>
      </w:pPr>
      <w:r>
        <w:rPr/>
        <w:t>It would therefore be unwise for the strategy for dealing with the Contractor to include termination of the EPC Contract, even if DPC considers that it has “good cause” for doing so.</w:t>
      </w:r>
    </w:p>
    <w:p>
      <w:pPr>
        <w:pStyle w:val="alpha2"/>
        <w:numPr>
          <w:ilvl w:val="0"/>
          <w:numId w:val="5"/>
        </w:numPr>
        <w:ind w:hanging="0" w:start="0"/>
        <w:rPr/>
      </w:pPr>
      <w:r>
        <w:rPr/>
        <w:t>There are also other potential grounds for termination by MSEB (such as a PFM-induced interruption to construction lasting more than 18 months) that we thought too unlikely to mention in detail here.</w:t>
      </w:r>
    </w:p>
    <w:p>
      <w:pPr>
        <w:pStyle w:val="Level2"/>
        <w:numPr>
          <w:ilvl w:val="1"/>
          <w:numId w:val="27"/>
        </w:numPr>
        <w:ind w:hanging="0" w:start="0"/>
        <w:rPr/>
      </w:pPr>
      <w:r>
        <w:rPr>
          <w:b/>
        </w:rPr>
        <w:t>Cost : Benefit Analysis</w:t>
      </w:r>
    </w:p>
    <w:p>
      <w:pPr>
        <w:pStyle w:val="Body1"/>
        <w:rPr/>
      </w:pPr>
      <w:r>
        <w:rPr/>
        <w:t>Such an analysis can of course only be done with the help of the detailed costs of continuing to construct and complete the Project.  However, the following considerations may be taken into account:</w:t>
      </w:r>
    </w:p>
    <w:p>
      <w:pPr>
        <w:pStyle w:val="Bullet2"/>
        <w:numPr>
          <w:ilvl w:val="0"/>
          <w:numId w:val="26"/>
        </w:numPr>
        <w:ind w:hanging="0" w:start="0"/>
        <w:rPr/>
      </w:pPr>
      <w:r>
        <w:rPr/>
        <w:t>There are significant contractual benefits to be gained from completing Blocks B and C.  These include the tripling of the Capacity Payments and a significant increase in the amount of the Transfer Amount upon termination.</w:t>
      </w:r>
    </w:p>
    <w:p>
      <w:pPr>
        <w:pStyle w:val="Bullet2"/>
        <w:numPr>
          <w:ilvl w:val="0"/>
          <w:numId w:val="26"/>
        </w:numPr>
        <w:ind w:hanging="0" w:start="0"/>
        <w:rPr/>
      </w:pPr>
      <w:r>
        <w:rPr/>
        <w:t>Tactically, the threat of bringing Phase II on line and the significant additional costs that would involve may provoke a further crisis in which GOM/MSEB act to their long-term disadvantage in respect of their arbitration case.</w:t>
      </w:r>
    </w:p>
    <w:p>
      <w:pPr>
        <w:pStyle w:val="Bullet2"/>
        <w:numPr>
          <w:ilvl w:val="0"/>
          <w:numId w:val="26"/>
        </w:numPr>
        <w:ind w:hanging="0" w:start="0"/>
        <w:rPr/>
      </w:pPr>
      <w:r>
        <w:rPr/>
        <w:t>Whilst it may be argued that there is a potential loss that might be suffered in procuring fuel for the Power Station for which MSEB does not ultimately pay, we consider it unlikely that MSEB would impose a high level of despatch on the plant one or both of the Phase II Blocks achieves ECS, especially if this is in the monsoon at a time of low demand.</w:t>
      </w:r>
    </w:p>
    <w:p>
      <w:pPr>
        <w:pStyle w:val="Bullet2"/>
        <w:numPr>
          <w:ilvl w:val="0"/>
          <w:numId w:val="26"/>
        </w:numPr>
        <w:ind w:hanging="0" w:start="0"/>
        <w:rPr/>
      </w:pPr>
      <w:r>
        <w:rPr/>
        <w:t xml:space="preserve">There seems to be only limited upside for DPC in completing the LNG Facility.  The Regas, Shipping and Harbour Charges are only a fraction of the Capacity Payments, and there are no damages for late completion.  In addition, completion of the LNG Facility adds relatively little to the Transfer Amount.  </w:t>
      </w:r>
    </w:p>
    <w:p>
      <w:pPr>
        <w:pStyle w:val="Body3"/>
        <w:rPr/>
      </w:pPr>
      <w:r>
        <w:rPr/>
        <w:t>However, this analysis ignores the potential take-or-pay costs to DPC under the LNG Supply Contract.  Exposure to those costs may represent a compelling reason to complete the LNG Facility.</w:t>
      </w:r>
    </w:p>
    <w:p>
      <w:pPr>
        <w:pStyle w:val="Level1"/>
        <w:numPr>
          <w:ilvl w:val="0"/>
          <w:numId w:val="27"/>
        </w:numPr>
        <w:ind w:hanging="0" w:start="0"/>
        <w:rPr/>
      </w:pPr>
      <w:r>
        <w:rPr/>
        <w:t>Phase I Operation</w:t>
      </w:r>
    </w:p>
    <w:p>
      <w:pPr>
        <w:pStyle w:val="Body"/>
        <w:rPr/>
      </w:pPr>
      <w:r>
        <w:rPr/>
        <w:t>DPC must also decide whether or not to continue to fuel and operate Phase I.</w:t>
      </w:r>
    </w:p>
    <w:p>
      <w:pPr>
        <w:pStyle w:val="Level2"/>
        <w:numPr>
          <w:ilvl w:val="1"/>
          <w:numId w:val="27"/>
        </w:numPr>
        <w:ind w:hanging="0" w:start="0"/>
        <w:rPr/>
      </w:pPr>
      <w:r>
        <w:rPr>
          <w:b/>
        </w:rPr>
        <w:t>PPA Obligations</w:t>
      </w:r>
    </w:p>
    <w:p>
      <w:pPr>
        <w:pStyle w:val="Bullet2"/>
        <w:numPr>
          <w:ilvl w:val="0"/>
          <w:numId w:val="0"/>
        </w:numPr>
        <w:ind w:hanging="0" w:start="680" w:end="0"/>
        <w:rPr/>
      </w:pPr>
      <w:r>
        <w:rPr/>
        <w:t>DPC has an obligation under Clause 6.1 to operate and maintain the Power Station, and under Clause 7.1 DPC gives an undertaking to “fuel and operate the Power Plant  . . .  so as to provide to MSEB  . . .  the Rated Baseload Capacity and the Rated Peaking Capacity”.</w:t>
      </w:r>
    </w:p>
    <w:p>
      <w:pPr>
        <w:pStyle w:val="Bullet2"/>
        <w:numPr>
          <w:ilvl w:val="0"/>
          <w:numId w:val="0"/>
        </w:numPr>
        <w:ind w:hanging="0" w:start="680" w:end="0"/>
        <w:rPr/>
      </w:pPr>
      <w:r>
        <w:rPr/>
        <w:t>Clause 7.1 contains a number of exceptions that might be of some relevance, including an exceptions in respect of Good Industry Practice and safety, which might be relevant if DPC’s lack of funds means that it cannot maintain safety standards.</w:t>
      </w:r>
    </w:p>
    <w:p>
      <w:pPr>
        <w:pStyle w:val="Bullet2"/>
        <w:numPr>
          <w:ilvl w:val="0"/>
          <w:numId w:val="0"/>
        </w:numPr>
        <w:ind w:hanging="0" w:start="680" w:end="0"/>
        <w:rPr/>
      </w:pPr>
      <w:r>
        <w:rPr/>
        <w:t>In addition, although DPC’s Availability Declarations must declare the true availability of the plant, it would presumably be possible to come up with a number of maintenance issues that would make a zero declaration plausible.  This sort of breach of the PPA, just like the breach of the obligation to maintain minimum levels of fuel in the tanks, are ones for which there are no specified contractual remedies.</w:t>
      </w:r>
    </w:p>
    <w:p>
      <w:pPr>
        <w:pStyle w:val="Bullet2"/>
        <w:numPr>
          <w:ilvl w:val="0"/>
          <w:numId w:val="0"/>
        </w:numPr>
        <w:ind w:hanging="0" w:start="680" w:end="0"/>
        <w:rPr/>
      </w:pPr>
      <w:r>
        <w:rPr/>
        <w:t>Further investigation needs to be done, however, into the regulatory background.  It may be that MSEB, GOM or an entity such as the Regional Load Despatch Centre might have statutory powers capable of exercise in an emergency that would enable them to order continued operation of the power station.</w:t>
      </w:r>
    </w:p>
    <w:p>
      <w:pPr>
        <w:pStyle w:val="Level2"/>
        <w:numPr>
          <w:ilvl w:val="1"/>
          <w:numId w:val="27"/>
        </w:numPr>
        <w:ind w:hanging="0" w:start="0"/>
        <w:rPr/>
      </w:pPr>
      <w:r>
        <w:rPr>
          <w:b/>
        </w:rPr>
        <w:t>Contractual Consequences of Suspension of Operation/Failure to Declare Available</w:t>
      </w:r>
    </w:p>
    <w:p>
      <w:pPr>
        <w:pStyle w:val="Body2"/>
        <w:rPr/>
      </w:pPr>
      <w:r>
        <w:rPr/>
        <w:t>The suspension of plant operation has the following contractual consequences under the PPA:</w:t>
      </w:r>
    </w:p>
    <w:p>
      <w:pPr>
        <w:pStyle w:val="alpha2"/>
        <w:numPr>
          <w:ilvl w:val="0"/>
          <w:numId w:val="32"/>
        </w:numPr>
        <w:ind w:hanging="0" w:start="0"/>
        <w:rPr>
          <w:b/>
        </w:rPr>
      </w:pPr>
      <w:r>
        <w:rPr>
          <w:b/>
        </w:rPr>
        <w:t>If DPC claims PFM</w:t>
      </w:r>
    </w:p>
    <w:p>
      <w:pPr>
        <w:pStyle w:val="Body3"/>
        <w:rPr/>
      </w:pPr>
      <w:r>
        <w:rPr/>
        <w:t>Note that DPC has until 15 days after the end of the Schedule Year (i.e. until 15 October in case of the Schedule Year ending on the preceding 30 September) to lodge its claims for Political Force Majeure occurring at any time during the Schedule Year.  Assuming that such a claim is successfully made:</w:t>
      </w:r>
    </w:p>
    <w:p>
      <w:pPr>
        <w:pStyle w:val="Bullet3"/>
        <w:numPr>
          <w:ilvl w:val="0"/>
          <w:numId w:val="9"/>
        </w:numPr>
        <w:ind w:hanging="0" w:start="0"/>
        <w:rPr/>
      </w:pPr>
      <w:r>
        <w:rPr/>
        <w:t>the Rated Capacity of the Plant is reduced to zero (see Clause 8.2(f))</w:t>
      </w:r>
    </w:p>
    <w:p>
      <w:pPr>
        <w:pStyle w:val="Bullet3"/>
        <w:numPr>
          <w:ilvl w:val="0"/>
          <w:numId w:val="9"/>
        </w:numPr>
        <w:ind w:hanging="0" w:start="0"/>
        <w:rPr/>
      </w:pPr>
      <w:r>
        <w:rPr/>
        <w:t>Capacity Payments will therefore be reduced to zero</w:t>
      </w:r>
    </w:p>
    <w:p>
      <w:pPr>
        <w:pStyle w:val="Bullet3"/>
        <w:numPr>
          <w:ilvl w:val="0"/>
          <w:numId w:val="9"/>
        </w:numPr>
        <w:ind w:hanging="0" w:start="0"/>
        <w:rPr/>
      </w:pPr>
      <w:r>
        <w:rPr/>
        <w:t>for 270 days following the date on which the PFM first occurred, DPC is entitled to Capacity Payments under Clause 16.5(b)(i), assuming that the relevant PFM event is either a Change in Law or the exercise of a “sovereign or executive prerogative”.</w:t>
      </w:r>
    </w:p>
    <w:p>
      <w:pPr>
        <w:pStyle w:val="Bullet3"/>
        <w:numPr>
          <w:ilvl w:val="0"/>
          <w:numId w:val="9"/>
        </w:numPr>
        <w:ind w:hanging="0" w:start="0"/>
        <w:rPr/>
      </w:pPr>
      <w:r>
        <w:rPr/>
        <w:t>DPC’s availability is then calculated as if the plant had been fully available at times when its capacity was reduced due to PFM.</w:t>
      </w:r>
    </w:p>
    <w:p>
      <w:pPr>
        <w:pStyle w:val="alpha2"/>
        <w:numPr>
          <w:ilvl w:val="0"/>
          <w:numId w:val="5"/>
        </w:numPr>
        <w:ind w:hanging="0" w:start="0"/>
        <w:rPr>
          <w:b/>
        </w:rPr>
      </w:pPr>
      <w:r>
        <w:rPr>
          <w:b/>
        </w:rPr>
        <w:t>If DPC does not claim PFM</w:t>
      </w:r>
    </w:p>
    <w:p>
      <w:pPr>
        <w:pStyle w:val="Body3"/>
        <w:rPr/>
      </w:pPr>
      <w:r>
        <w:rPr/>
        <w:t>Or if the claim is not successful:</w:t>
      </w:r>
    </w:p>
    <w:p>
      <w:pPr>
        <w:pStyle w:val="Bullet3"/>
        <w:numPr>
          <w:ilvl w:val="0"/>
          <w:numId w:val="9"/>
        </w:numPr>
        <w:ind w:hanging="0" w:start="0"/>
        <w:rPr/>
      </w:pPr>
      <w:r>
        <w:rPr/>
        <w:t>April invoice: unaffected, DPC claims Capacity Payments solely on the basis of Rated Capacity.  However, MSEB may refuse to pay on the basis of improper set-off.  And DPC is burdened with an unfortunate precedent in this respect following the agreement to invoice a reduced amount in [November / October 2000 (?)] due to low availability in that month.</w:t>
      </w:r>
    </w:p>
    <w:p>
      <w:pPr>
        <w:pStyle w:val="Bullet3"/>
        <w:numPr>
          <w:ilvl w:val="0"/>
          <w:numId w:val="9"/>
        </w:numPr>
        <w:ind w:hanging="0" w:start="0"/>
        <w:rPr/>
      </w:pPr>
      <w:r>
        <w:rPr/>
        <w:t>May invoice:  DPC must calculate Availability Rebate taking into account the time when the plant was shut down.</w:t>
      </w:r>
    </w:p>
    <w:p>
      <w:pPr>
        <w:pStyle w:val="Body3"/>
        <w:rPr/>
      </w:pPr>
      <w:r>
        <w:rPr/>
        <w:t>Note that in practice this is unlikely to affect what MSEB will do as they are almost certainly intending to allege a number of misdeclarations that would already entitle them to the maximum Availability Rebate.  They are most unlikely to pay the May invoice in any event pending resolution of the misdeclaration dispute.</w:t>
      </w:r>
    </w:p>
    <w:p>
      <w:pPr>
        <w:pStyle w:val="Bullet3"/>
        <w:numPr>
          <w:ilvl w:val="0"/>
          <w:numId w:val="9"/>
        </w:numPr>
        <w:ind w:hanging="0" w:start="0"/>
        <w:rPr/>
      </w:pPr>
      <w:r>
        <w:rPr/>
        <w:t>June/July/August invoices:  these will be unaffected by the shut-down of the plant subject to the comments above in respect of the April invoice.</w:t>
      </w:r>
    </w:p>
    <w:p>
      <w:pPr>
        <w:pStyle w:val="Bullet3"/>
        <w:numPr>
          <w:ilvl w:val="0"/>
          <w:numId w:val="9"/>
        </w:numPr>
        <w:ind w:hanging="0" w:start="0"/>
        <w:rPr/>
      </w:pPr>
      <w:r>
        <w:rPr/>
        <w:t>September 2001 invoice:   if MSEB continues to “game” the ramp-up capability of the plant in the monsoon season, they are very likely to be claiming additional Availability Rebates in respect of “misdeclarations”.</w:t>
      </w:r>
    </w:p>
    <w:p>
      <w:pPr>
        <w:pStyle w:val="Level2"/>
        <w:numPr>
          <w:ilvl w:val="1"/>
          <w:numId w:val="27"/>
        </w:numPr>
        <w:ind w:hanging="0" w:start="0"/>
        <w:rPr/>
      </w:pPr>
      <w:r>
        <w:rPr>
          <w:b/>
        </w:rPr>
        <w:t>Risk of MSEB Termination</w:t>
      </w:r>
    </w:p>
    <w:p>
      <w:pPr>
        <w:pStyle w:val="Body2"/>
        <w:rPr/>
      </w:pPr>
      <w:r>
        <w:rPr/>
        <w:t>Suspension of operations exposes DPC to the following riots of PPA termination by MSEB:</w:t>
      </w:r>
    </w:p>
    <w:p>
      <w:pPr>
        <w:pStyle w:val="alpha2"/>
        <w:numPr>
          <w:ilvl w:val="0"/>
          <w:numId w:val="33"/>
        </w:numPr>
        <w:ind w:hanging="0" w:start="0"/>
        <w:rPr/>
      </w:pPr>
      <w:r>
        <w:rPr/>
        <w:t>Clause 17.3(c)(i) allows MSEB to serve a PTN if DPC abandons the operation of Phase I for more than 45 consecutive days.</w:t>
      </w:r>
    </w:p>
    <w:p>
      <w:pPr>
        <w:pStyle w:val="Body3"/>
        <w:rPr/>
      </w:pPr>
      <w:r>
        <w:rPr/>
        <w:t xml:space="preserve">This right of termination is excluded for the same reasons described in para 3.3 above </w:t>
      </w:r>
    </w:p>
    <w:p>
      <w:pPr>
        <w:pStyle w:val="Body3"/>
        <w:rPr/>
      </w:pPr>
      <w:r>
        <w:rPr/>
        <w:t>Note however that because the grounds for termination specify a particular period of abandonment, it is arguable that once this period has been exceeded, the breach is no longer capable of remedy.</w:t>
      </w:r>
    </w:p>
    <w:p>
      <w:pPr>
        <w:pStyle w:val="alpha2"/>
        <w:numPr>
          <w:ilvl w:val="0"/>
          <w:numId w:val="5"/>
        </w:numPr>
        <w:ind w:hanging="0" w:start="0"/>
        <w:rPr/>
      </w:pPr>
      <w:r>
        <w:rPr/>
        <w:t xml:space="preserve">Clause 17.3(i) allows MSEB to serve a PTN for DPC’s “repudiation”.  </w:t>
      </w:r>
    </w:p>
    <w:p>
      <w:pPr>
        <w:pStyle w:val="Body3"/>
        <w:rPr/>
      </w:pPr>
      <w:r>
        <w:rPr/>
        <w:t>Again, DPC would be able to defend this termination if it is able to show that the interruption in operation is due to Force Majeure.</w:t>
      </w:r>
    </w:p>
    <w:p>
      <w:pPr>
        <w:pStyle w:val="alpha2"/>
        <w:numPr>
          <w:ilvl w:val="0"/>
          <w:numId w:val="5"/>
        </w:numPr>
        <w:ind w:hanging="0" w:start="0"/>
        <w:rPr/>
      </w:pPr>
      <w:r>
        <w:rPr/>
        <w:t>Clause 17.3(d)(i) allows MSEB to serve a PTN if DPC terminates the Operation &amp; Maintenance Contract without MSEB’s consent unless for good cause or by reason of the Contractor’s default.</w:t>
      </w:r>
    </w:p>
    <w:p>
      <w:pPr>
        <w:pStyle w:val="Body3"/>
        <w:rPr/>
      </w:pPr>
      <w:r>
        <w:rPr/>
        <w:t>It would therefore be unwise for the strategy for dealing with the Operator to include termination of the O&amp;M Contract.</w:t>
      </w:r>
    </w:p>
    <w:p>
      <w:pPr>
        <w:pStyle w:val="alpha2"/>
        <w:numPr>
          <w:ilvl w:val="0"/>
          <w:numId w:val="5"/>
        </w:numPr>
        <w:ind w:hanging="0" w:start="0"/>
        <w:rPr/>
      </w:pPr>
      <w:r>
        <w:rPr/>
        <w:t>There are also other potential grounds for termination by MSEB (such as a PFM-induced interruption to operation lasting more than 18 months) that we thought too unlikely to mention in detail here.</w:t>
      </w:r>
    </w:p>
    <w:p>
      <w:pPr>
        <w:pStyle w:val="Level2"/>
        <w:numPr>
          <w:ilvl w:val="1"/>
          <w:numId w:val="27"/>
        </w:numPr>
        <w:ind w:hanging="0" w:start="0"/>
        <w:rPr/>
      </w:pPr>
      <w:r>
        <w:rPr>
          <w:b/>
        </w:rPr>
        <w:t>Cost : Benefit Analysis</w:t>
      </w:r>
    </w:p>
    <w:p>
      <w:pPr>
        <w:pStyle w:val="Body1"/>
        <w:rPr/>
      </w:pPr>
      <w:r>
        <w:rPr/>
        <w:t>This analysis will depend upon a number of different factors as to which we can only currently speculate.  These include:</w:t>
      </w:r>
    </w:p>
    <w:p>
      <w:pPr>
        <w:pStyle w:val="Bullet2"/>
        <w:numPr>
          <w:ilvl w:val="0"/>
          <w:numId w:val="26"/>
        </w:numPr>
        <w:ind w:hanging="0" w:start="0"/>
        <w:rPr/>
      </w:pPr>
      <w:r>
        <w:rPr/>
        <w:t>the strengths and weaknesses of DPC’s PFM arguments;</w:t>
      </w:r>
    </w:p>
    <w:p>
      <w:pPr>
        <w:pStyle w:val="Bullet2"/>
        <w:numPr>
          <w:ilvl w:val="0"/>
          <w:numId w:val="26"/>
        </w:numPr>
        <w:ind w:hanging="0" w:start="0"/>
        <w:rPr/>
      </w:pPr>
      <w:r>
        <w:rPr/>
        <w:t>the actual level of despatch by MSEB if DPC opts to continue to operate; and</w:t>
      </w:r>
    </w:p>
    <w:p>
      <w:pPr>
        <w:pStyle w:val="Bullet2"/>
        <w:numPr>
          <w:ilvl w:val="0"/>
          <w:numId w:val="26"/>
        </w:numPr>
        <w:ind w:hanging="0" w:start="0"/>
        <w:rPr/>
      </w:pPr>
      <w:r>
        <w:rPr/>
        <w:t xml:space="preserve">the likelihood of MSEB/GOM/GOI making any further payments. </w:t>
      </w:r>
    </w:p>
    <w:p>
      <w:pPr>
        <w:pStyle w:val="Bullet2"/>
        <w:numPr>
          <w:ilvl w:val="0"/>
          <w:numId w:val="0"/>
        </w:numPr>
        <w:ind w:hanging="0" w:start="680" w:end="0"/>
        <w:rPr/>
      </w:pPr>
      <w:r>
        <w:rPr/>
        <w:t>In addition, the following considerations need to be taken into account:</w:t>
      </w:r>
    </w:p>
    <w:p>
      <w:pPr>
        <w:pStyle w:val="Bullet2"/>
        <w:numPr>
          <w:ilvl w:val="0"/>
          <w:numId w:val="26"/>
        </w:numPr>
        <w:ind w:hanging="0" w:start="0"/>
        <w:rPr/>
      </w:pPr>
      <w:r>
        <w:rPr/>
        <w:t>if limited stocks of fuel are available, whether that limited amount is used to fuel Phase I (for which we may at least get some payment) or to test and commission Phase II (in order to achieve ECS and thereby obtain the benefits described above).</w:t>
      </w:r>
    </w:p>
    <w:p>
      <w:pPr>
        <w:pStyle w:val="Bullet2"/>
        <w:numPr>
          <w:ilvl w:val="0"/>
          <w:numId w:val="26"/>
        </w:numPr>
        <w:ind w:hanging="0" w:start="0"/>
        <w:rPr/>
      </w:pPr>
      <w:r>
        <w:rPr/>
        <w:t>Given the possible alternative use of fuels, whether we should switch to purchase only distillate (because naphtha is not appropriate to be used for testing), even if that means taking a hit on the Phase I Energy Payments.</w:t>
      </w:r>
    </w:p>
    <w:p>
      <w:pPr>
        <w:pStyle w:val="Level1"/>
        <w:numPr>
          <w:ilvl w:val="0"/>
          <w:numId w:val="27"/>
        </w:numPr>
        <w:ind w:hanging="0" w:start="0"/>
        <w:rPr/>
      </w:pPr>
      <w:r>
        <w:rPr/>
        <w:t>Strategy of and Interference by Other Parties</w:t>
      </w:r>
    </w:p>
    <w:p>
      <w:pPr>
        <w:pStyle w:val="Level2"/>
        <w:numPr>
          <w:ilvl w:val="1"/>
          <w:numId w:val="27"/>
        </w:numPr>
        <w:ind w:hanging="0" w:start="0"/>
        <w:rPr/>
      </w:pPr>
      <w:r>
        <w:rPr>
          <w:b/>
        </w:rPr>
        <w:t>Analysis of Strategic Motivations of MSEB/GOM/GOI</w:t>
      </w:r>
    </w:p>
    <w:p>
      <w:pPr>
        <w:pStyle w:val="alpha2"/>
        <w:numPr>
          <w:ilvl w:val="0"/>
          <w:numId w:val="34"/>
        </w:numPr>
        <w:ind w:hanging="0" w:start="0"/>
        <w:rPr/>
      </w:pPr>
      <w:r>
        <w:rPr>
          <w:b/>
        </w:rPr>
        <w:t>MSEB</w:t>
      </w:r>
      <w:r>
        <w:rPr/>
        <w:t xml:space="preserve">: </w:t>
      </w:r>
    </w:p>
    <w:p>
      <w:pPr>
        <w:pStyle w:val="Body3"/>
        <w:rPr/>
      </w:pPr>
      <w:r>
        <w:rPr/>
        <w:t>The commercial problems facing MSEB in the operation of its business are so many and varied that it can only be possible for senior management to focus on a small proportion of them at any one time. It is therefore in a continuing state of crisis management. It operates a loss-making business and is entirely dependent upon regular Government subsidies in order to pay its bills.</w:t>
      </w:r>
    </w:p>
    <w:p>
      <w:pPr>
        <w:pStyle w:val="Body3"/>
        <w:rPr/>
      </w:pPr>
      <w:r>
        <w:rPr/>
        <w:t>Its management structure, however, is wholly unsuited to crisis management. It is run as a compartmentalised bureaucracy in which individual managers take responsibility only for the very limited range of matters referred to them. This means that decision-making in relation to any out of the ordinary situation is almost inevitably impossible except at the level of the Charman himself. And we also know that in taking any major decisions the Chairman is likely to seek directions from the Department of Energy in the GOM.</w:t>
      </w:r>
    </w:p>
    <w:p>
      <w:pPr>
        <w:pStyle w:val="Body3"/>
        <w:rPr/>
      </w:pPr>
      <w:r>
        <w:rPr/>
        <w:t>This also means, however, that the implementation of a coordinated strategy in relation to the Dabhol project is likely to be very difficult for MSEB. It could only be done on the basis of clear “top-down” directions from the Chairman. Individual decision-makers are likely to require clear written instructions (in relation to their narrow area of authority) before doing anything out of the ordinary.</w:t>
      </w:r>
    </w:p>
    <w:p>
      <w:pPr>
        <w:pStyle w:val="Body3"/>
        <w:rPr/>
      </w:pPr>
      <w:r>
        <w:rPr/>
        <w:t>This means that we are likely to be able to find out about the implementation of any such strategy, and that there is likely to be a preserved paper trail in relation to any such strategy that could be very useful to us if DPC could get their hands on it.</w:t>
      </w:r>
    </w:p>
    <w:p>
      <w:pPr>
        <w:pStyle w:val="alpha2"/>
        <w:numPr>
          <w:ilvl w:val="0"/>
          <w:numId w:val="5"/>
        </w:numPr>
        <w:ind w:hanging="0" w:start="0"/>
        <w:rPr/>
      </w:pPr>
      <w:r>
        <w:rPr>
          <w:b/>
        </w:rPr>
        <w:t>GOM</w:t>
      </w:r>
      <w:r>
        <w:rPr/>
        <w:t xml:space="preserve">: </w:t>
      </w:r>
    </w:p>
    <w:p>
      <w:pPr>
        <w:pStyle w:val="Body3"/>
        <w:rPr/>
      </w:pPr>
      <w:r>
        <w:rPr/>
        <w:t>Others at DPC can comment better on the internal workings at GOM, the chemistry of the relationships between bureaucrats and politicians, and the influence of the ”behind - the - scenes” kingmakers. GOM is perhaps the least predictable of the parties involved, but the following points should be borne in mind:</w:t>
      </w:r>
    </w:p>
    <w:p>
      <w:pPr>
        <w:pStyle w:val="Bullet3"/>
        <w:numPr>
          <w:ilvl w:val="0"/>
          <w:numId w:val="9"/>
        </w:numPr>
        <w:ind w:hanging="0" w:start="0"/>
        <w:rPr/>
      </w:pPr>
      <w:r>
        <w:rPr/>
        <w:t>The political separation between State and Centre is vitally important. The Maharashtra government is now controlled by the Congress Party, as it was until shortly after Phase I financial close. However, the Central Government is a BJP dominated coalition, and it was the BJP in Maharashtra who cancelled the project in 1995, renegotiated in 1996 and promoted Phase II in 1998.</w:t>
      </w:r>
    </w:p>
    <w:p>
      <w:pPr>
        <w:pStyle w:val="Body4"/>
        <w:rPr/>
      </w:pPr>
      <w:r>
        <w:rPr/>
        <w:t>One recurrent theme in the  GOM approach to the Dabhol project is that they would like to make it the Centre’s problem.</w:t>
      </w:r>
    </w:p>
    <w:p>
      <w:pPr>
        <w:pStyle w:val="Bullet3"/>
        <w:numPr>
          <w:ilvl w:val="0"/>
          <w:numId w:val="9"/>
        </w:numPr>
        <w:ind w:hanging="0" w:start="0"/>
        <w:rPr/>
      </w:pPr>
      <w:r>
        <w:rPr/>
        <w:t>The appointment of the Energy Review Committee and the orchestration of the actions of some of the regulatory bodies do indicate that there is some coordinated activity going on within GOM. However, we believe that GOM’s expectation is that the sponsors will be willing to renegotiate the PPA. We therefore expect that their actions are more likely to be designed to give them the upper hand in negotiations rather than to seek to terminate the PPA or cancel the project.</w:t>
      </w:r>
    </w:p>
    <w:p>
      <w:pPr>
        <w:pStyle w:val="Bullet3"/>
        <w:numPr>
          <w:ilvl w:val="0"/>
          <w:numId w:val="9"/>
        </w:numPr>
        <w:ind w:hanging="0" w:start="0"/>
        <w:rPr/>
      </w:pPr>
      <w:r>
        <w:rPr/>
        <w:t>GOM probably does not have a long term perspective on the issue. It is unlikely that they will be seriously concerned about the climate for foreign investment in the State. They are likely to be influenced by short-term political objectives.</w:t>
      </w:r>
    </w:p>
    <w:p>
      <w:pPr>
        <w:pStyle w:val="Bullet3"/>
        <w:numPr>
          <w:ilvl w:val="0"/>
          <w:numId w:val="9"/>
        </w:numPr>
        <w:ind w:hanging="0" w:start="0"/>
        <w:rPr/>
      </w:pPr>
      <w:r>
        <w:rPr/>
        <w:t>The adverse effect on GOM of having to arbitrate with DPC in London should not be underestimated. In particular, the press coverage in this respect is likely to be highly critical of GOM if it is seen us wasting public funds in defending a case it is bound to lose.</w:t>
      </w:r>
    </w:p>
    <w:p>
      <w:pPr>
        <w:pStyle w:val="alpha2"/>
        <w:numPr>
          <w:ilvl w:val="0"/>
          <w:numId w:val="5"/>
        </w:numPr>
        <w:ind w:hanging="0" w:start="0"/>
        <w:rPr/>
      </w:pPr>
      <w:r>
        <w:rPr>
          <w:b/>
        </w:rPr>
        <w:t>GOI</w:t>
      </w:r>
      <w:r>
        <w:rPr/>
        <w:t xml:space="preserve">: </w:t>
      </w:r>
    </w:p>
    <w:p>
      <w:pPr>
        <w:pStyle w:val="Body3"/>
        <w:rPr/>
      </w:pPr>
      <w:r>
        <w:rPr/>
        <w:t>See the political background above. There is nothing the Government in Delhi would like to see more than the full of the Congress government in Maharashtra. If the Dabhol issue can be manipulated to achieve this end, it should be assumed that GOI will pursue this.</w:t>
      </w:r>
    </w:p>
    <w:p>
      <w:pPr>
        <w:pStyle w:val="Body3"/>
        <w:rPr/>
      </w:pPr>
      <w:r>
        <w:rPr/>
        <w:t>At a bureaucratic level, there has always been strong resistance to the giving of guarantees in relation to power projects. We should expert, therefore, that every possible means will be used to avoid payment short of fighting the arbitration in London.</w:t>
      </w:r>
    </w:p>
    <w:p>
      <w:pPr>
        <w:pStyle w:val="Body3"/>
        <w:rPr/>
      </w:pPr>
      <w:r>
        <w:rPr/>
        <w:t>GOI is concerned about:</w:t>
      </w:r>
    </w:p>
    <w:p>
      <w:pPr>
        <w:pStyle w:val="Bullet3"/>
        <w:numPr>
          <w:ilvl w:val="0"/>
          <w:numId w:val="9"/>
        </w:numPr>
        <w:ind w:hanging="0" w:start="0"/>
        <w:rPr/>
      </w:pPr>
      <w:r>
        <w:rPr/>
        <w:t>the credit-rating of GOI debt;</w:t>
      </w:r>
    </w:p>
    <w:p>
      <w:pPr>
        <w:pStyle w:val="Bullet3"/>
        <w:numPr>
          <w:ilvl w:val="0"/>
          <w:numId w:val="9"/>
        </w:numPr>
        <w:ind w:hanging="0" w:start="0"/>
        <w:rPr/>
      </w:pPr>
      <w:r>
        <w:rPr/>
        <w:t>international relations with the U.S. and the Middle East;</w:t>
      </w:r>
    </w:p>
    <w:p>
      <w:pPr>
        <w:pStyle w:val="Bullet3"/>
        <w:numPr>
          <w:ilvl w:val="0"/>
          <w:numId w:val="9"/>
        </w:numPr>
        <w:ind w:hanging="0" w:start="0"/>
        <w:rPr/>
      </w:pPr>
      <w:r>
        <w:rPr/>
        <w:t>the long-term effect upon the climate for foreign investment.</w:t>
      </w:r>
    </w:p>
    <w:p>
      <w:pPr>
        <w:pStyle w:val="Body4"/>
        <w:rPr/>
      </w:pPr>
      <w:r>
        <w:rPr/>
        <w:t>[constitutionality issues concerning the 13-day BJP government]</w:t>
      </w:r>
    </w:p>
    <w:p>
      <w:pPr>
        <w:pStyle w:val="Level2"/>
        <w:numPr>
          <w:ilvl w:val="1"/>
          <w:numId w:val="27"/>
        </w:numPr>
        <w:ind w:hanging="0" w:start="0"/>
        <w:rPr>
          <w:b/>
        </w:rPr>
      </w:pPr>
      <w:r>
        <w:rPr>
          <w:b/>
        </w:rPr>
        <w:t>MSEB Challenge to PTN Validity</w:t>
      </w:r>
    </w:p>
    <w:p>
      <w:pPr>
        <w:pStyle w:val="Body2"/>
        <w:rPr/>
      </w:pPr>
      <w:r>
        <w:rPr/>
        <w:t>It is certain that MSEB will challenge the validity of any PTN served by DPC. Even in the simple case of non-payment, MSEB will construct some argument, whether based on set-off or otherwise, that the payment is not due and the PTN therefore invalid.</w:t>
      </w:r>
    </w:p>
    <w:p>
      <w:pPr>
        <w:pStyle w:val="Body2"/>
        <w:rPr/>
      </w:pPr>
      <w:r>
        <w:rPr/>
        <w:t>If we are successful in serving a PTN in respect of non-payment of amounts that are not in dispute, or the dispute of which is weak, we believe there is a good chance that MSEB wil pay (through possibly not until the last possible moment) in order to avoid termination.</w:t>
      </w:r>
    </w:p>
    <w:p>
      <w:pPr>
        <w:pStyle w:val="Body2"/>
        <w:rPr/>
      </w:pPr>
      <w:r>
        <w:rPr/>
        <w:t>A successful challenge by MSEB of the validity of a PTN would obviously invalidate the entire process. It is therefore important that we address such a dispute by commencing arbitration proceedings immediately. Ideally, the issue in dispute (e.g. MSEB’s non-payment and/or GOM’s breach of the SSA) will already be the subject of existing arbitration proceedings so that this process can be accelerated.</w:t>
      </w:r>
    </w:p>
    <w:p>
      <w:pPr>
        <w:pStyle w:val="Body2"/>
        <w:rPr/>
      </w:pPr>
      <w:r>
        <w:rPr/>
        <w:t>We can and perhaps should make it clear in our PTNs that we acknowledge that the grounds for service of the PTN are currently being disputed. The PTN may then go on to say that we will withdraw it [and pay MSEB’s cost?] if we are found to have been in the wrong. We should also say that on this basis MSEB is obliged to cooperation in the process of valuation and the other preparation for transfer pending the outcome of the transfer once the arbitration is decided in our favour.</w:t>
      </w:r>
    </w:p>
    <w:p>
      <w:pPr>
        <w:pStyle w:val="Body2"/>
        <w:rPr/>
      </w:pPr>
      <w:r>
        <w:rPr/>
        <w:t>MSEB may well argue that both the valuation procedures and the running of the 6-month Suspension Period should be suspended pending the outcome of the arbitration. Fortunately, Schedule 11 is drafted so that the valuation process can go ahead without MSEB’s participation, but we should probably seek the arbitrators’ ruling on this issue so as to prevent MSEB from reopening the valuation at a later stage. Similarly, we should seek the arbitratiors’ ruling or the issue of whether or not the Suspension Period should continue to run whilst arbitration proceedings are under way.</w:t>
      </w:r>
    </w:p>
    <w:p>
      <w:pPr>
        <w:pStyle w:val="Level2"/>
        <w:numPr>
          <w:ilvl w:val="1"/>
          <w:numId w:val="27"/>
        </w:numPr>
        <w:ind w:hanging="0" w:start="0"/>
        <w:rPr>
          <w:b/>
        </w:rPr>
      </w:pPr>
      <w:r>
        <w:rPr>
          <w:b/>
        </w:rPr>
        <w:t>MSEB Challenge of Expert Determinations</w:t>
      </w:r>
    </w:p>
    <w:p>
      <w:pPr>
        <w:pStyle w:val="Body2"/>
        <w:rPr/>
      </w:pPr>
      <w:r>
        <w:rPr/>
        <w:t>As shown in the attached flow-chart, the Expert is involved in determining various elements of the “Revenue Amount”, which forms a component of the Transfer Amount.</w:t>
      </w:r>
    </w:p>
    <w:p>
      <w:pPr>
        <w:pStyle w:val="Body2"/>
        <w:rPr/>
      </w:pPr>
      <w:r>
        <w:rPr/>
        <w:t>Decisions of the Expert are final and binding on the parties. It should therefore be extremely difficult for MSEB to mount a challenge to determinations of the Expert, and any attempt to do so would in any event be caught by the agreement to arbitrate disputes under the PPA. However, we should not rule out this possibility.</w:t>
      </w:r>
    </w:p>
    <w:p>
      <w:pPr>
        <w:pStyle w:val="Body2"/>
        <w:rPr/>
      </w:pPr>
      <w:r>
        <w:rPr/>
        <w:t>The Expert is also required to resolve disputes relating to the drafting of the transfer documents to be executed upon completion. Similar considerations apply in this respect.</w:t>
      </w:r>
    </w:p>
    <w:p>
      <w:pPr>
        <w:pStyle w:val="Level2"/>
        <w:numPr>
          <w:ilvl w:val="1"/>
          <w:numId w:val="27"/>
        </w:numPr>
        <w:ind w:hanging="0" w:start="0"/>
        <w:rPr>
          <w:b/>
        </w:rPr>
      </w:pPr>
      <w:r>
        <w:rPr>
          <w:b/>
        </w:rPr>
        <w:t>MSEB Challenge of Valuer’s Certificate</w:t>
      </w:r>
    </w:p>
    <w:p>
      <w:pPr>
        <w:pStyle w:val="Body2"/>
        <w:rPr/>
      </w:pPr>
      <w:r>
        <w:rPr/>
        <w:t>The Valuer (again shown in the attached flow chart) is required to determine in the case of termination by DPC the DRC Valuation of the Operating Assets. He then issues a certificate which is “final and conclusive” except in respect of objections raised “on grounds of manifest error” within 10 days following its issue.</w:t>
      </w:r>
    </w:p>
    <w:p>
      <w:pPr>
        <w:pStyle w:val="Body2"/>
        <w:rPr/>
      </w:pPr>
      <w:r>
        <w:rPr/>
        <w:t>It would be safe to assume that MSEB will raise objections to the certificate. If such objections cannot be resolved the matter will have to be referred to arbitration.</w:t>
      </w:r>
    </w:p>
    <w:p>
      <w:pPr>
        <w:pStyle w:val="Level2"/>
        <w:numPr>
          <w:ilvl w:val="1"/>
          <w:numId w:val="27"/>
        </w:numPr>
        <w:ind w:hanging="0" w:start="0"/>
        <w:rPr>
          <w:b/>
        </w:rPr>
      </w:pPr>
      <w:r>
        <w:rPr>
          <w:b/>
        </w:rPr>
        <w:t>MSEB Challenge to Accountants’ Certification</w:t>
      </w:r>
    </w:p>
    <w:p>
      <w:pPr>
        <w:pStyle w:val="Body2"/>
        <w:rPr/>
      </w:pPr>
      <w:r>
        <w:rPr/>
        <w:t>Once the Expert has determined the components of the Revenue Amount and the Valuer has submitted his valuation, these matters are included by DPC in the Termination Statement, which is submitted to the Accountants for certification.</w:t>
      </w:r>
    </w:p>
    <w:p>
      <w:pPr>
        <w:pStyle w:val="Body2"/>
        <w:rPr/>
      </w:pPr>
      <w:r>
        <w:rPr/>
        <w:t>In the case of the provisional Termination Statement, MSEB has 21 days within which to raise objections based on either (a) any qualification or exceptions in any report issued by the Accountants in support of their review and certification, or (b) manifest error. In the case of the final Termination Statement, MSEB has only 5 days and may object only in respect of manifest error.</w:t>
      </w:r>
    </w:p>
    <w:p>
      <w:pPr>
        <w:pStyle w:val="Body2"/>
        <w:rPr/>
      </w:pPr>
      <w:r>
        <w:rPr/>
        <w:t>As with the Valuer’s Certificate, disputes arising out of MSEB’s objections would have to be resolved by arbitration.</w:t>
      </w:r>
    </w:p>
    <w:p>
      <w:pPr>
        <w:pStyle w:val="Level2"/>
        <w:numPr>
          <w:ilvl w:val="1"/>
          <w:numId w:val="27"/>
        </w:numPr>
        <w:ind w:hanging="0" w:start="0"/>
        <w:rPr>
          <w:b/>
        </w:rPr>
      </w:pPr>
      <w:r>
        <w:rPr>
          <w:b/>
        </w:rPr>
        <w:t>Novation of LNG Contracts</w:t>
      </w:r>
    </w:p>
    <w:p>
      <w:pPr>
        <w:pStyle w:val="Body2"/>
        <w:rPr/>
      </w:pPr>
      <w:r>
        <w:rPr/>
        <w:t>The LNG supply contracts with Oman and Abu Dhabi and the ship charterparty of the Lakshmi are set up so as to allow for them to be novated to MSEB upon termination of the PPA. In the case of termination by DPC, this is effectively at the option of the LNG supplier/shipowner, but there are nevertheless certain procedural steps in this respect in Schedule 11 that merit attention.</w:t>
      </w:r>
    </w:p>
    <w:p>
      <w:pPr>
        <w:pStyle w:val="Body2"/>
        <w:rPr/>
      </w:pPr>
      <w:r>
        <w:rPr/>
        <w:t>DPC must submit copies of these contracts to MSEB within 10 days of the time of a Transfer Notice and must allow MSEB access to its books and records relating to the LNG supply arrangements. MSEB then has the right to object to the novation of contracts that have been amended.</w:t>
      </w:r>
    </w:p>
    <w:p>
      <w:pPr>
        <w:pStyle w:val="Body2"/>
        <w:rPr/>
      </w:pPr>
      <w:r>
        <w:rPr/>
        <w:t>However, none of this has any effect upon the underlying transfer of the Operating Assets, and it is perhaps unlikely in any event given the circumstances that any of the counter-parties would be willing to allow a novation to take place.</w:t>
      </w:r>
    </w:p>
    <w:p>
      <w:pPr>
        <w:pStyle w:val="Level1"/>
        <w:numPr>
          <w:ilvl w:val="0"/>
          <w:numId w:val="27"/>
        </w:numPr>
        <w:ind w:hanging="0" w:start="0"/>
        <w:rPr/>
      </w:pPr>
      <w:r>
        <w:rPr/>
        <w:t>MSEB Termination Counter-attack</w:t>
      </w:r>
    </w:p>
    <w:p>
      <w:pPr>
        <w:pStyle w:val="Body1"/>
        <w:rPr/>
      </w:pPr>
      <w:r>
        <w:rPr/>
        <w:t>One very likely response by MSEB to the service of a PTN is the service of a counter - PTN on DPC. The basis on which MSEB might issue such a notice arising out of the suspension of operation or construction is analysed above, and we do not believe that this is a significant risk.</w:t>
      </w:r>
    </w:p>
    <w:p>
      <w:pPr>
        <w:pStyle w:val="Body1"/>
        <w:rPr/>
      </w:pPr>
      <w:r>
        <w:rPr/>
        <w:t>What we suspect is more likely is that MSEB would seek to terminate for non-payment of the Availability Rebates it is claiming in respect of the January invoice for the alleged misdeclaration on 28 January 2001.</w:t>
      </w:r>
    </w:p>
    <w:p>
      <w:pPr>
        <w:pStyle w:val="Body1"/>
        <w:rPr/>
      </w:pPr>
      <w:r>
        <w:rPr/>
        <w:t>DPC would of course dispute the validity of such a PTN, and the matter would need to be resolved as part of the arbitration dealing generally with the misdeclaration issue.</w:t>
      </w:r>
    </w:p>
    <w:p>
      <w:pPr>
        <w:pStyle w:val="Body1"/>
        <w:rPr/>
      </w:pPr>
      <w:r>
        <w:rPr/>
        <w:t>Following service of a PTN, MSEB would have to decide whether or not to serve a Transfer Notice. This is likely to be an extremely difficult decision for MSEB. Unlike DPC, it does not have the option to exclude the LNG facility from the Operating Assets, so it would have to commit to pay 90% of the total debt, less only certain deductions in respect of the cost of repairing defects. In particular, even if successful in its misdeclaration claim, MSEB would not be able to further reduce the Transfer Amount by showing that future misdeclarations  (which would be inevitable if MSEB are right in their contentions) would depress (or eliminate) the future income of DPC.</w:t>
      </w:r>
    </w:p>
    <w:p>
      <w:pPr>
        <w:pStyle w:val="Body1"/>
        <w:rPr/>
      </w:pPr>
      <w:r>
        <w:rPr/>
        <w:t>We therefore think that it is highly likely that MSEB would not serve a Transfer Notice in relation to any PTN it might serve. This would certainly simply matters from a procedural point of view, as it would complicate matters enormously it the Experts, Valuer and Accountants were to be required to carry out an alternative valuation alongside that requested by DPC.</w:t>
      </w:r>
    </w:p>
    <w:p>
      <w:pPr>
        <w:pStyle w:val="Level1"/>
        <w:numPr>
          <w:ilvl w:val="0"/>
          <w:numId w:val="27"/>
        </w:numPr>
        <w:ind w:hanging="0" w:start="0"/>
        <w:rPr/>
      </w:pPr>
      <w:r>
        <w:rPr/>
        <w:t>Completion</w:t>
      </w:r>
    </w:p>
    <w:p>
      <w:pPr>
        <w:pStyle w:val="Body1"/>
        <w:rPr/>
      </w:pPr>
      <w:r>
        <w:rPr/>
        <w:t>Following relation of all interim disputes, DPC should eventually arrive at a point where the Transfer Amount has been finally determined, the transfer documents have been resolved and the right to serve a PTN and thereafter Termination Notice has been established.</w:t>
      </w:r>
    </w:p>
    <w:p>
      <w:pPr>
        <w:pStyle w:val="Body1"/>
        <w:rPr/>
      </w:pPr>
      <w:r>
        <w:rPr/>
        <w:t>At this point, DPC specifies the time and place for Completion. If, as may be expected, MSEB does not pay the Transfer Amount, DPC may pursue a claim for the unpaid amount even though the Operating Assets are not actually transferred at Completion.</w:t>
      </w:r>
    </w:p>
    <w:p>
      <w:pPr>
        <w:pStyle w:val="Body1"/>
        <w:rPr/>
      </w:pPr>
      <w:r>
        <w:rPr/>
        <w:t>MSEB will no doubt dispute its obligation to pay on some grounds, and further reference to arbitration may be necessary to deal with this dispute, followed by enforcement proceeding in India.</w:t>
      </w:r>
    </w:p>
    <w:p>
      <w:pPr>
        <w:pStyle w:val="Body1"/>
        <w:rPr/>
      </w:pPr>
      <w:r>
        <w:rPr/>
        <w:t xml:space="preserve">The Transfer Amount is guaranteed by GOM, through again arbitration under the GOM Guarantee may be necessary to establish this claim, following which DPC may take enforcement proceedings against GOM. </w:t>
      </w:r>
    </w:p>
    <w:p>
      <w:pPr>
        <w:pStyle w:val="Body1"/>
        <w:rPr/>
      </w:pPr>
      <w:r>
        <w:rPr/>
        <w:t>The position under the GOI Guarantee is more complex, and beyond the scope of this note. It should be noted, however, that GOI has an obligation to make a “Termination Payment” following PPA termination which does not constitute a guarantee of MSEB’s obligations. The effect of a payment by GOI (which payment covers only the Phase I non-rupee debt) is to put GOI into the shoes of the foreign lenders.</w:t>
      </w:r>
    </w:p>
    <w:p>
      <w:pPr>
        <w:pStyle w:val="Body1"/>
        <w:jc w:val="end"/>
        <w:rPr/>
      </w:pPr>
      <w:r>
        <w:rPr/>
        <w:t>Linklaters</w:t>
      </w:r>
    </w:p>
    <w:p>
      <w:pPr>
        <w:pStyle w:val="Body1"/>
        <w:jc w:val="end"/>
        <w:rPr/>
      </w:pPr>
      <w:r>
        <w:rPr/>
        <w:t>13 April 2001</w:t>
      </w:r>
      <w:r>
        <w:br w:type="page"/>
      </w:r>
    </w:p>
    <w:p>
      <w:pPr>
        <w:pStyle w:val="Body"/>
        <w:rPr>
          <w:caps/>
          <w:u w:val="single"/>
          <w:lang w:val="en-US"/>
        </w:rPr>
      </w:pPr>
      <w:r>
        <w:rPr>
          <w:caps/>
          <w:u w:val="single"/>
          <w:lang w:val="en-US"/>
        </w:rPr>
        <w:t>Table 1</w:t>
      </w:r>
    </w:p>
    <w:p>
      <w:pPr>
        <w:pStyle w:val="Body"/>
        <w:rPr/>
      </w:pPr>
      <w:r>
        <w:rPr>
          <w:b/>
          <w:lang w:val="en-US"/>
        </w:rPr>
        <w:t xml:space="preserve">Preliminary Termination Notice </w:t>
      </w:r>
      <w:r>
        <w:rPr>
          <w:rFonts w:eastAsia="Monotype Sorts" w:cs="Monotype Sorts" w:ascii="Monotype Sorts" w:hAnsi="Monotype Sorts"/>
          <w:b/>
          <w:lang w:val="en-US"/>
        </w:rPr>
        <w:sym w:font="Monotype Sorts" w:char="f0d4"/>
      </w:r>
      <w:r>
        <w:rPr>
          <w:b/>
          <w:lang w:val="en-US"/>
        </w:rPr>
        <w:t>Provisional Termination Statement</w:t>
      </w:r>
    </w:p>
    <w:p>
      <w:pPr>
        <w:pStyle w:val="Body"/>
        <w:rPr>
          <w:b/>
          <w:u w:val="single"/>
          <w:lang w:val="en-US"/>
        </w:rPr>
      </w:pPr>
      <w:r>
        <w:rPr>
          <w:b/>
          <w:u w:val="single"/>
          <w:lang w:val="en-US"/>
        </w:rPr>
      </w:r>
      <w:r>
        <mc:AlternateContent>
          <mc:Choice Requires="wps">
            <w:drawing>
              <wp:anchor behindDoc="0" distT="0" distB="0" distL="114935" distR="114935" simplePos="0" locked="0" layoutInCell="1" allowOverlap="1" relativeHeight="4">
                <wp:simplePos x="0" y="0"/>
                <wp:positionH relativeFrom="column">
                  <wp:posOffset>1096645</wp:posOffset>
                </wp:positionH>
                <wp:positionV relativeFrom="paragraph">
                  <wp:posOffset>112395</wp:posOffset>
                </wp:positionV>
                <wp:extent cx="3311525" cy="1680845"/>
                <wp:effectExtent l="0" t="0" r="0" b="0"/>
                <wp:wrapNone/>
                <wp:docPr id="3" name="Frame2"/>
                <a:graphic xmlns:a="http://schemas.openxmlformats.org/drawingml/2006/main">
                  <a:graphicData uri="http://schemas.microsoft.com/office/word/2010/wordprocessingShape">
                    <wps:wsp>
                      <wps:cNvSpPr txBox="1"/>
                      <wps:spPr>
                        <a:xfrm>
                          <a:off x="0" y="0"/>
                          <a:ext cx="3311525" cy="1680845"/>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60.75pt;height:132.35pt;mso-wrap-distance-left:9.05pt;mso-wrap-distance-right:9.05pt;mso-wrap-distance-top:0pt;mso-wrap-distance-bottom:0pt;margin-top:8.85pt;mso-position-vertical-relative:text;margin-left:86.3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5">
                <wp:simplePos x="0" y="0"/>
                <wp:positionH relativeFrom="column">
                  <wp:posOffset>1201420</wp:posOffset>
                </wp:positionH>
                <wp:positionV relativeFrom="paragraph">
                  <wp:posOffset>241935</wp:posOffset>
                </wp:positionV>
                <wp:extent cx="3093720" cy="405765"/>
                <wp:effectExtent l="0" t="0" r="0" b="0"/>
                <wp:wrapNone/>
                <wp:docPr id="4" name="Frame1"/>
                <a:graphic xmlns:a="http://schemas.openxmlformats.org/drawingml/2006/main">
                  <a:graphicData uri="http://schemas.microsoft.com/office/word/2010/wordprocessingShape">
                    <wps:wsp>
                      <wps:cNvSpPr txBox="1"/>
                      <wps:spPr>
                        <a:xfrm>
                          <a:off x="0" y="0"/>
                          <a:ext cx="3093720" cy="405765"/>
                        </a:xfrm>
                        <a:prstGeom prst="rect"/>
                        <a:solidFill>
                          <a:srgbClr val="FFFFFF"/>
                        </a:solidFill>
                      </wps:spPr>
                      <wps:txbx>
                        <w:txbxContent>
                          <w:p>
                            <w:pPr>
                              <w:pStyle w:val="Normal"/>
                              <w:jc w:val="center"/>
                              <w:rPr/>
                            </w:pPr>
                            <w:r>
                              <w:rPr/>
                              <w:t>PRELIMINARY TERMINATION NOTICE</w:t>
                            </w:r>
                          </w:p>
                          <w:p>
                            <w:pPr>
                              <w:pStyle w:val="Normal"/>
                              <w:jc w:val="center"/>
                              <w:rPr/>
                            </w:pPr>
                            <w:r>
                              <w:rPr/>
                              <w:t>+ TRANSFER NOTICE</w:t>
                            </w:r>
                          </w:p>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243.6pt;height:31.95pt;mso-wrap-distance-left:9.05pt;mso-wrap-distance-right:9.05pt;mso-wrap-distance-top:0pt;mso-wrap-distance-bottom:0pt;margin-top:19.05pt;mso-position-vertical-relative:text;margin-left:94.6pt;mso-position-horizontal-relative:text">
                <v:textbox inset="0.100694444444444in,0.0506944444444444in,0.100694444444444in,0.0506944444444444in">
                  <w:txbxContent>
                    <w:p>
                      <w:pPr>
                        <w:pStyle w:val="Normal"/>
                        <w:jc w:val="center"/>
                        <w:rPr/>
                      </w:pPr>
                      <w:r>
                        <w:rPr/>
                        <w:t>PRELIMINARY TERMINATION NOTICE</w:t>
                      </w:r>
                    </w:p>
                    <w:p>
                      <w:pPr>
                        <w:pStyle w:val="Normal"/>
                        <w:jc w:val="center"/>
                        <w:rPr/>
                      </w:pPr>
                      <w:r>
                        <w:rPr/>
                        <w:t>+ TRANSFER NOTICE</w:t>
                      </w:r>
                    </w:p>
                    <w:p>
                      <w:pPr>
                        <w:pStyle w:val="Normal"/>
                        <w:rPr/>
                      </w:pPr>
                      <w:r>
                        <w:rPr/>
                      </w:r>
                    </w:p>
                  </w:txbxContent>
                </v:textbox>
                <w10:wrap type="none"/>
              </v:rect>
            </w:pict>
          </mc:Fallback>
        </mc:AlternateContent>
      </w:r>
    </w:p>
    <w:p>
      <w:pPr>
        <w:pStyle w:val="Body"/>
        <w:rPr>
          <w:u w:val="single"/>
          <w:lang w:val="en-US"/>
        </w:rPr>
      </w:pPr>
      <w:r>
        <w:rPr>
          <w:u w:val="single"/>
          <w:lang w:val="en-US"/>
        </w:rPr>
        <mc:AlternateContent>
          <mc:Choice Requires="wps">
            <w:drawing>
              <wp:anchor behindDoc="0" distT="0" distB="0" distL="114935" distR="114935" simplePos="0" locked="0" layoutInCell="1" allowOverlap="1" relativeHeight="7">
                <wp:simplePos x="0" y="0"/>
                <wp:positionH relativeFrom="column">
                  <wp:posOffset>398145</wp:posOffset>
                </wp:positionH>
                <wp:positionV relativeFrom="paragraph">
                  <wp:posOffset>1694180</wp:posOffset>
                </wp:positionV>
                <wp:extent cx="1375410" cy="628015"/>
                <wp:effectExtent l="5080" t="5715" r="5080" b="4445"/>
                <wp:wrapNone/>
                <wp:docPr id="5" name=""/>
                <a:graphic xmlns:a="http://schemas.openxmlformats.org/drawingml/2006/main">
                  <a:graphicData uri="http://schemas.microsoft.com/office/word/2010/wordprocessingShape">
                    <wps:wsp>
                      <wps:cNvSpPr/>
                      <wps:spPr>
                        <a:xfrm>
                          <a:off x="0" y="0"/>
                          <a:ext cx="1375560" cy="6278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1.35pt;margin-top:133.4pt;width:108.25pt;height:49.4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9">
                <wp:simplePos x="0" y="0"/>
                <wp:positionH relativeFrom="column">
                  <wp:posOffset>2045970</wp:posOffset>
                </wp:positionH>
                <wp:positionV relativeFrom="paragraph">
                  <wp:posOffset>1702435</wp:posOffset>
                </wp:positionV>
                <wp:extent cx="1375410" cy="628015"/>
                <wp:effectExtent l="5080" t="5715" r="5080" b="4445"/>
                <wp:wrapNone/>
                <wp:docPr id="6" name=""/>
                <a:graphic xmlns:a="http://schemas.openxmlformats.org/drawingml/2006/main">
                  <a:graphicData uri="http://schemas.microsoft.com/office/word/2010/wordprocessingShape">
                    <wps:wsp>
                      <wps:cNvSpPr/>
                      <wps:spPr>
                        <a:xfrm>
                          <a:off x="0" y="0"/>
                          <a:ext cx="1375560" cy="6278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61.1pt;margin-top:134.05pt;width:108.25pt;height:49.4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10">
                <wp:simplePos x="0" y="0"/>
                <wp:positionH relativeFrom="column">
                  <wp:posOffset>3670300</wp:posOffset>
                </wp:positionH>
                <wp:positionV relativeFrom="paragraph">
                  <wp:posOffset>1697355</wp:posOffset>
                </wp:positionV>
                <wp:extent cx="1375410" cy="628015"/>
                <wp:effectExtent l="5080" t="5715" r="5080" b="4445"/>
                <wp:wrapNone/>
                <wp:docPr id="7" name=""/>
                <a:graphic xmlns:a="http://schemas.openxmlformats.org/drawingml/2006/main">
                  <a:graphicData uri="http://schemas.microsoft.com/office/word/2010/wordprocessingShape">
                    <wps:wsp>
                      <wps:cNvSpPr/>
                      <wps:spPr>
                        <a:xfrm>
                          <a:off x="0" y="0"/>
                          <a:ext cx="1375560" cy="6278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89pt;margin-top:133.65pt;width:108.25pt;height:49.4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13">
                <wp:simplePos x="0" y="0"/>
                <wp:positionH relativeFrom="column">
                  <wp:posOffset>-14605</wp:posOffset>
                </wp:positionH>
                <wp:positionV relativeFrom="paragraph">
                  <wp:posOffset>2451100</wp:posOffset>
                </wp:positionV>
                <wp:extent cx="2051685" cy="962025"/>
                <wp:effectExtent l="5715" t="5715" r="4445" b="4445"/>
                <wp:wrapNone/>
                <wp:docPr id="8" name=""/>
                <a:graphic xmlns:a="http://schemas.openxmlformats.org/drawingml/2006/main">
                  <a:graphicData uri="http://schemas.microsoft.com/office/word/2010/wordprocessingShape">
                    <wps:wsp>
                      <wps:cNvSpPr/>
                      <wps:spPr>
                        <a:xfrm>
                          <a:off x="0" y="0"/>
                          <a:ext cx="2051640" cy="9619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15pt;margin-top:193pt;width:161.5pt;height:75.7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14">
                <wp:simplePos x="0" y="0"/>
                <wp:positionH relativeFrom="column">
                  <wp:posOffset>2195830</wp:posOffset>
                </wp:positionH>
                <wp:positionV relativeFrom="paragraph">
                  <wp:posOffset>2642235</wp:posOffset>
                </wp:positionV>
                <wp:extent cx="1160780" cy="556895"/>
                <wp:effectExtent l="5080" t="5715" r="5080" b="4445"/>
                <wp:wrapNone/>
                <wp:docPr id="9" name=""/>
                <a:graphic xmlns:a="http://schemas.openxmlformats.org/drawingml/2006/main">
                  <a:graphicData uri="http://schemas.microsoft.com/office/word/2010/wordprocessingShape">
                    <wps:wsp>
                      <wps:cNvSpPr/>
                      <wps:spPr>
                        <a:xfrm>
                          <a:off x="0" y="0"/>
                          <a:ext cx="1160640" cy="5569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72.9pt;margin-top:208.05pt;width:91.35pt;height:43.8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17">
                <wp:simplePos x="0" y="0"/>
                <wp:positionH relativeFrom="column">
                  <wp:posOffset>-321310</wp:posOffset>
                </wp:positionH>
                <wp:positionV relativeFrom="paragraph">
                  <wp:posOffset>3607435</wp:posOffset>
                </wp:positionV>
                <wp:extent cx="2734945" cy="2257425"/>
                <wp:effectExtent l="5715" t="5715" r="4445" b="4445"/>
                <wp:wrapNone/>
                <wp:docPr id="10" name=""/>
                <a:graphic xmlns:a="http://schemas.openxmlformats.org/drawingml/2006/main">
                  <a:graphicData uri="http://schemas.microsoft.com/office/word/2010/wordprocessingShape">
                    <wps:wsp>
                      <wps:cNvSpPr/>
                      <wps:spPr>
                        <a:xfrm>
                          <a:off x="0" y="0"/>
                          <a:ext cx="2734920" cy="225756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5.3pt;margin-top:284.05pt;width:215.3pt;height:177.7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19">
                <wp:simplePos x="0" y="0"/>
                <wp:positionH relativeFrom="column">
                  <wp:posOffset>629285</wp:posOffset>
                </wp:positionH>
                <wp:positionV relativeFrom="paragraph">
                  <wp:posOffset>6141085</wp:posOffset>
                </wp:positionV>
                <wp:extent cx="2751455" cy="556260"/>
                <wp:effectExtent l="5715" t="5080" r="4445" b="5080"/>
                <wp:wrapNone/>
                <wp:docPr id="11" name=""/>
                <a:graphic xmlns:a="http://schemas.openxmlformats.org/drawingml/2006/main">
                  <a:graphicData uri="http://schemas.microsoft.com/office/word/2010/wordprocessingShape">
                    <wps:wsp>
                      <wps:cNvSpPr/>
                      <wps:spPr>
                        <a:xfrm>
                          <a:off x="0" y="0"/>
                          <a:ext cx="2751480" cy="5562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9.55pt;margin-top:483.55pt;width:216.6pt;height:43.7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21">
                <wp:simplePos x="0" y="0"/>
                <wp:positionH relativeFrom="column">
                  <wp:posOffset>2475230</wp:posOffset>
                </wp:positionH>
                <wp:positionV relativeFrom="paragraph">
                  <wp:posOffset>7070725</wp:posOffset>
                </wp:positionV>
                <wp:extent cx="2734945" cy="572135"/>
                <wp:effectExtent l="5715" t="5715" r="4445" b="4445"/>
                <wp:wrapNone/>
                <wp:docPr id="12" name=""/>
                <a:graphic xmlns:a="http://schemas.openxmlformats.org/drawingml/2006/main">
                  <a:graphicData uri="http://schemas.microsoft.com/office/word/2010/wordprocessingShape">
                    <wps:wsp>
                      <wps:cNvSpPr/>
                      <wps:spPr>
                        <a:xfrm>
                          <a:off x="0" y="0"/>
                          <a:ext cx="2734920" cy="5720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94.9pt;margin-top:556.75pt;width:215.3pt;height:4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23">
                <wp:simplePos x="0" y="0"/>
                <wp:positionH relativeFrom="column">
                  <wp:posOffset>1416685</wp:posOffset>
                </wp:positionH>
                <wp:positionV relativeFrom="paragraph">
                  <wp:posOffset>1536700</wp:posOffset>
                </wp:positionV>
                <wp:extent cx="0" cy="151130"/>
                <wp:effectExtent l="5080" t="0" r="5080" b="0"/>
                <wp:wrapNone/>
                <wp:docPr id="13" name=""/>
                <a:graphic xmlns:a="http://schemas.openxmlformats.org/drawingml/2006/main">
                  <a:graphicData uri="http://schemas.microsoft.com/office/word/2010/wordprocessingShape">
                    <wps:wsp>
                      <wps:cNvSpPr/>
                      <wps:spPr>
                        <a:xfrm>
                          <a:off x="0" y="0"/>
                          <a:ext cx="0" cy="151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11.55pt,121pt" to="111.55pt,132.8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4">
                <wp:simplePos x="0" y="0"/>
                <wp:positionH relativeFrom="column">
                  <wp:posOffset>2705100</wp:posOffset>
                </wp:positionH>
                <wp:positionV relativeFrom="paragraph">
                  <wp:posOffset>1529080</wp:posOffset>
                </wp:positionV>
                <wp:extent cx="0" cy="174625"/>
                <wp:effectExtent l="5080" t="0" r="5080" b="0"/>
                <wp:wrapNone/>
                <wp:docPr id="14" name=""/>
                <a:graphic xmlns:a="http://schemas.openxmlformats.org/drawingml/2006/main">
                  <a:graphicData uri="http://schemas.microsoft.com/office/word/2010/wordprocessingShape">
                    <wps:wsp>
                      <wps:cNvSpPr/>
                      <wps:spPr>
                        <a:xfrm>
                          <a:off x="0" y="0"/>
                          <a:ext cx="0" cy="174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3pt,120.4pt" to="213pt,134.1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5">
                <wp:simplePos x="0" y="0"/>
                <wp:positionH relativeFrom="column">
                  <wp:posOffset>4311015</wp:posOffset>
                </wp:positionH>
                <wp:positionV relativeFrom="paragraph">
                  <wp:posOffset>1536700</wp:posOffset>
                </wp:positionV>
                <wp:extent cx="0" cy="151130"/>
                <wp:effectExtent l="5080" t="0" r="5080" b="0"/>
                <wp:wrapNone/>
                <wp:docPr id="15" name=""/>
                <a:graphic xmlns:a="http://schemas.openxmlformats.org/drawingml/2006/main">
                  <a:graphicData uri="http://schemas.microsoft.com/office/word/2010/wordprocessingShape">
                    <wps:wsp>
                      <wps:cNvSpPr/>
                      <wps:spPr>
                        <a:xfrm>
                          <a:off x="0" y="0"/>
                          <a:ext cx="0" cy="151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39.45pt,121pt" to="339.45pt,132.8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7">
                <wp:simplePos x="0" y="0"/>
                <wp:positionH relativeFrom="column">
                  <wp:posOffset>1061720</wp:posOffset>
                </wp:positionH>
                <wp:positionV relativeFrom="paragraph">
                  <wp:posOffset>2326005</wp:posOffset>
                </wp:positionV>
                <wp:extent cx="0" cy="127000"/>
                <wp:effectExtent l="5080" t="0" r="5080" b="0"/>
                <wp:wrapNone/>
                <wp:docPr id="16" name=""/>
                <a:graphic xmlns:a="http://schemas.openxmlformats.org/drawingml/2006/main">
                  <a:graphicData uri="http://schemas.microsoft.com/office/word/2010/wordprocessingShape">
                    <wps:wsp>
                      <wps:cNvSpPr/>
                      <wps:spPr>
                        <a:xfrm>
                          <a:off x="0" y="0"/>
                          <a:ext cx="0" cy="127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3.6pt,183.15pt" to="83.6pt,193.1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8">
                <wp:simplePos x="0" y="0"/>
                <wp:positionH relativeFrom="column">
                  <wp:posOffset>2719070</wp:posOffset>
                </wp:positionH>
                <wp:positionV relativeFrom="paragraph">
                  <wp:posOffset>2345055</wp:posOffset>
                </wp:positionV>
                <wp:extent cx="0" cy="311150"/>
                <wp:effectExtent l="5080" t="0" r="5080" b="0"/>
                <wp:wrapNone/>
                <wp:docPr id="17" name=""/>
                <a:graphic xmlns:a="http://schemas.openxmlformats.org/drawingml/2006/main">
                  <a:graphicData uri="http://schemas.microsoft.com/office/word/2010/wordprocessingShape">
                    <wps:wsp>
                      <wps:cNvSpPr/>
                      <wps:spPr>
                        <a:xfrm>
                          <a:off x="0" y="0"/>
                          <a:ext cx="0" cy="3110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4.1pt,184.65pt" to="214.1pt,209.1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9">
                <wp:simplePos x="0" y="0"/>
                <wp:positionH relativeFrom="column">
                  <wp:posOffset>1043305</wp:posOffset>
                </wp:positionH>
                <wp:positionV relativeFrom="paragraph">
                  <wp:posOffset>3439160</wp:posOffset>
                </wp:positionV>
                <wp:extent cx="0" cy="159385"/>
                <wp:effectExtent l="5080" t="0" r="5080" b="0"/>
                <wp:wrapNone/>
                <wp:docPr id="18" name=""/>
                <a:graphic xmlns:a="http://schemas.openxmlformats.org/drawingml/2006/main">
                  <a:graphicData uri="http://schemas.microsoft.com/office/word/2010/wordprocessingShape">
                    <wps:wsp>
                      <wps:cNvSpPr/>
                      <wps:spPr>
                        <a:xfrm>
                          <a:off x="0" y="0"/>
                          <a:ext cx="0" cy="159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2.15pt,270.8pt" to="82.15pt,283.3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0">
                <wp:simplePos x="0" y="0"/>
                <wp:positionH relativeFrom="column">
                  <wp:posOffset>2744470</wp:posOffset>
                </wp:positionH>
                <wp:positionV relativeFrom="paragraph">
                  <wp:posOffset>3205480</wp:posOffset>
                </wp:positionV>
                <wp:extent cx="0" cy="2705100"/>
                <wp:effectExtent l="5080" t="0" r="5080" b="0"/>
                <wp:wrapNone/>
                <wp:docPr id="19" name=""/>
                <a:graphic xmlns:a="http://schemas.openxmlformats.org/drawingml/2006/main">
                  <a:graphicData uri="http://schemas.microsoft.com/office/word/2010/wordprocessingShape">
                    <wps:wsp>
                      <wps:cNvSpPr/>
                      <wps:spPr>
                        <a:xfrm>
                          <a:off x="0" y="0"/>
                          <a:ext cx="0" cy="27050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6.1pt,252.4pt" to="216.1pt,465.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1">
                <wp:simplePos x="0" y="0"/>
                <wp:positionH relativeFrom="column">
                  <wp:posOffset>1087120</wp:posOffset>
                </wp:positionH>
                <wp:positionV relativeFrom="paragraph">
                  <wp:posOffset>5878830</wp:posOffset>
                </wp:positionV>
                <wp:extent cx="0" cy="104775"/>
                <wp:effectExtent l="5080" t="0" r="5080" b="0"/>
                <wp:wrapNone/>
                <wp:docPr id="20" name=""/>
                <a:graphic xmlns:a="http://schemas.openxmlformats.org/drawingml/2006/main">
                  <a:graphicData uri="http://schemas.microsoft.com/office/word/2010/wordprocessingShape">
                    <wps:wsp>
                      <wps:cNvSpPr/>
                      <wps:spPr>
                        <a:xfrm>
                          <a:off x="0" y="0"/>
                          <a:ext cx="0" cy="1047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5.6pt,462.9pt" to="85.6pt,471.1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2">
                <wp:simplePos x="0" y="0"/>
                <wp:positionH relativeFrom="column">
                  <wp:posOffset>1077595</wp:posOffset>
                </wp:positionH>
                <wp:positionV relativeFrom="paragraph">
                  <wp:posOffset>5974080</wp:posOffset>
                </wp:positionV>
                <wp:extent cx="1666875" cy="0"/>
                <wp:effectExtent l="0" t="5080" r="0" b="5080"/>
                <wp:wrapNone/>
                <wp:docPr id="21" name=""/>
                <a:graphic xmlns:a="http://schemas.openxmlformats.org/drawingml/2006/main">
                  <a:graphicData uri="http://schemas.microsoft.com/office/word/2010/wordprocessingShape">
                    <wps:wsp>
                      <wps:cNvSpPr/>
                      <wps:spPr>
                        <a:xfrm>
                          <a:off x="0" y="0"/>
                          <a:ext cx="1666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4.85pt,470.4pt" to="216.05pt,470.4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3">
                <wp:simplePos x="0" y="0"/>
                <wp:positionH relativeFrom="column">
                  <wp:posOffset>2001520</wp:posOffset>
                </wp:positionH>
                <wp:positionV relativeFrom="paragraph">
                  <wp:posOffset>5983605</wp:posOffset>
                </wp:positionV>
                <wp:extent cx="0" cy="161925"/>
                <wp:effectExtent l="5080" t="0" r="5080" b="0"/>
                <wp:wrapNone/>
                <wp:docPr id="22" name=""/>
                <a:graphic xmlns:a="http://schemas.openxmlformats.org/drawingml/2006/main">
                  <a:graphicData uri="http://schemas.microsoft.com/office/word/2010/wordprocessingShape">
                    <wps:wsp>
                      <wps:cNvSpPr/>
                      <wps:spPr>
                        <a:xfrm>
                          <a:off x="0" y="0"/>
                          <a:ext cx="0" cy="1620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7.6pt,471.15pt" to="157.6pt,483.8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
                <wp:simplePos x="0" y="0"/>
                <wp:positionH relativeFrom="column">
                  <wp:posOffset>2909570</wp:posOffset>
                </wp:positionH>
                <wp:positionV relativeFrom="paragraph">
                  <wp:posOffset>6701155</wp:posOffset>
                </wp:positionV>
                <wp:extent cx="0" cy="184150"/>
                <wp:effectExtent l="5080" t="0" r="5080" b="0"/>
                <wp:wrapNone/>
                <wp:docPr id="23" name=""/>
                <a:graphic xmlns:a="http://schemas.openxmlformats.org/drawingml/2006/main">
                  <a:graphicData uri="http://schemas.microsoft.com/office/word/2010/wordprocessingShape">
                    <wps:wsp>
                      <wps:cNvSpPr/>
                      <wps:spPr>
                        <a:xfrm>
                          <a:off x="0" y="0"/>
                          <a:ext cx="0" cy="184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9.1pt,527.65pt" to="229.1pt,542.1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5">
                <wp:simplePos x="0" y="0"/>
                <wp:positionH relativeFrom="column">
                  <wp:posOffset>4318000</wp:posOffset>
                </wp:positionH>
                <wp:positionV relativeFrom="paragraph">
                  <wp:posOffset>2326640</wp:posOffset>
                </wp:positionV>
                <wp:extent cx="0" cy="4575175"/>
                <wp:effectExtent l="5080" t="0" r="5080" b="0"/>
                <wp:wrapNone/>
                <wp:docPr id="24" name=""/>
                <a:graphic xmlns:a="http://schemas.openxmlformats.org/drawingml/2006/main">
                  <a:graphicData uri="http://schemas.microsoft.com/office/word/2010/wordprocessingShape">
                    <wps:wsp>
                      <wps:cNvSpPr/>
                      <wps:spPr>
                        <a:xfrm>
                          <a:off x="0" y="0"/>
                          <a:ext cx="0" cy="457524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40pt,183.2pt" to="340pt,543.4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6">
                <wp:simplePos x="0" y="0"/>
                <wp:positionH relativeFrom="column">
                  <wp:posOffset>2911475</wp:posOffset>
                </wp:positionH>
                <wp:positionV relativeFrom="paragraph">
                  <wp:posOffset>6858635</wp:posOffset>
                </wp:positionV>
                <wp:extent cx="1423670" cy="7620"/>
                <wp:effectExtent l="635" t="5080" r="635" b="5080"/>
                <wp:wrapNone/>
                <wp:docPr id="25" name=""/>
                <a:graphic xmlns:a="http://schemas.openxmlformats.org/drawingml/2006/main">
                  <a:graphicData uri="http://schemas.microsoft.com/office/word/2010/wordprocessingShape">
                    <wps:wsp>
                      <wps:cNvSpPr/>
                      <wps:spPr>
                        <a:xfrm>
                          <a:off x="0" y="0"/>
                          <a:ext cx="1423800" cy="75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29.25pt,540.05pt" to="341.3pt,540.6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7">
                <wp:simplePos x="0" y="0"/>
                <wp:positionH relativeFrom="column">
                  <wp:posOffset>3658870</wp:posOffset>
                </wp:positionH>
                <wp:positionV relativeFrom="paragraph">
                  <wp:posOffset>6882130</wp:posOffset>
                </wp:positionV>
                <wp:extent cx="0" cy="175260"/>
                <wp:effectExtent l="5080" t="0" r="5080" b="0"/>
                <wp:wrapNone/>
                <wp:docPr id="26" name=""/>
                <a:graphic xmlns:a="http://schemas.openxmlformats.org/drawingml/2006/main">
                  <a:graphicData uri="http://schemas.microsoft.com/office/word/2010/wordprocessingShape">
                    <wps:wsp>
                      <wps:cNvSpPr/>
                      <wps:spPr>
                        <a:xfrm>
                          <a:off x="0" y="0"/>
                          <a:ext cx="0" cy="175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8.1pt,541.9pt" to="288.1pt,555.65pt" stroked="t" o:allowincell="f"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6">
                <wp:simplePos x="0" y="0"/>
                <wp:positionH relativeFrom="column">
                  <wp:posOffset>1313180</wp:posOffset>
                </wp:positionH>
                <wp:positionV relativeFrom="paragraph">
                  <wp:posOffset>413385</wp:posOffset>
                </wp:positionV>
                <wp:extent cx="2981325" cy="1042035"/>
                <wp:effectExtent l="0" t="0" r="0" b="0"/>
                <wp:wrapNone/>
                <wp:docPr id="27" name="Frame12"/>
                <a:graphic xmlns:a="http://schemas.openxmlformats.org/drawingml/2006/main">
                  <a:graphicData uri="http://schemas.microsoft.com/office/word/2010/wordprocessingShape">
                    <wps:wsp>
                      <wps:cNvSpPr txBox="1"/>
                      <wps:spPr>
                        <a:xfrm>
                          <a:off x="0" y="0"/>
                          <a:ext cx="2981325" cy="1042035"/>
                        </a:xfrm>
                        <a:prstGeom prst="rect"/>
                        <a:solidFill>
                          <a:srgbClr val="FFFFFF"/>
                        </a:solidFill>
                      </wps:spPr>
                      <wps:txbx>
                        <w:txbxContent>
                          <w:p>
                            <w:pPr>
                              <w:pStyle w:val="Body"/>
                              <w:jc w:val="start"/>
                              <w:rPr/>
                            </w:pPr>
                            <w:r>
                              <w:rPr/>
                              <w:t>+ Request to agree Expert (if not already agreed)</w:t>
                            </w:r>
                          </w:p>
                          <w:p>
                            <w:pPr>
                              <w:pStyle w:val="Body"/>
                              <w:jc w:val="start"/>
                              <w:rPr/>
                            </w:pPr>
                            <w:r>
                              <w:rPr/>
                              <w:t>+ Request to agree Valuers</w:t>
                            </w:r>
                          </w:p>
                          <w:p>
                            <w:pPr>
                              <w:pStyle w:val="Normal"/>
                              <w:rPr/>
                            </w:pPr>
                            <w:r>
                              <w:rPr/>
                              <w:t>+ Request to agree Accountants</w:t>
                            </w:r>
                          </w:p>
                        </w:txbxContent>
                      </wps:txbx>
                      <wps:bodyPr anchor="t" lIns="92075" tIns="46355" rIns="92075" bIns="46355">
                        <a:noAutofit/>
                      </wps:bodyPr>
                    </wps:wsp>
                  </a:graphicData>
                </a:graphic>
              </wp:anchor>
            </w:drawing>
          </mc:Choice>
          <mc:Fallback>
            <w:pict>
              <v:rect fillcolor="#FFFFFF" style="position:absolute;rotation:-0;width:234.75pt;height:82.05pt;mso-wrap-distance-left:9.05pt;mso-wrap-distance-right:9.05pt;mso-wrap-distance-top:0pt;mso-wrap-distance-bottom:0pt;margin-top:32.55pt;mso-position-vertical-relative:text;margin-left:103.4pt;mso-position-horizontal-relative:text">
                <v:textbox inset="0.100694444444444in,0.0506944444444444in,0.100694444444444in,0.0506944444444444in">
                  <w:txbxContent>
                    <w:p>
                      <w:pPr>
                        <w:pStyle w:val="Body"/>
                        <w:jc w:val="start"/>
                        <w:rPr/>
                      </w:pPr>
                      <w:r>
                        <w:rPr/>
                        <w:t>+ Request to agree Expert (if not already agreed)</w:t>
                      </w:r>
                    </w:p>
                    <w:p>
                      <w:pPr>
                        <w:pStyle w:val="Body"/>
                        <w:jc w:val="start"/>
                        <w:rPr/>
                      </w:pPr>
                      <w:r>
                        <w:rPr/>
                        <w:t>+ Request to agree Valuers</w:t>
                      </w:r>
                    </w:p>
                    <w:p>
                      <w:pPr>
                        <w:pStyle w:val="Normal"/>
                        <w:rPr/>
                      </w:pPr>
                      <w:r>
                        <w:rPr/>
                        <w:t>+ Request to agree Accountants</w:t>
                      </w:r>
                    </w:p>
                  </w:txbxContent>
                </v:textbox>
                <w10:wrap type="none"/>
              </v:rect>
            </w:pict>
          </mc:Fallback>
        </mc:AlternateContent>
      </w:r>
      <w:r>
        <mc:AlternateContent>
          <mc:Choice Requires="wps">
            <w:drawing>
              <wp:anchor behindDoc="0" distT="0" distB="0" distL="114935" distR="114935" simplePos="0" locked="0" layoutInCell="1" allowOverlap="1" relativeHeight="8">
                <wp:simplePos x="0" y="0"/>
                <wp:positionH relativeFrom="column">
                  <wp:posOffset>535305</wp:posOffset>
                </wp:positionH>
                <wp:positionV relativeFrom="paragraph">
                  <wp:posOffset>1757680</wp:posOffset>
                </wp:positionV>
                <wp:extent cx="1129030" cy="397510"/>
                <wp:effectExtent l="0" t="0" r="0" b="0"/>
                <wp:wrapNone/>
                <wp:docPr id="28" name="Frame9"/>
                <a:graphic xmlns:a="http://schemas.openxmlformats.org/drawingml/2006/main">
                  <a:graphicData uri="http://schemas.microsoft.com/office/word/2010/wordprocessingShape">
                    <wps:wsp>
                      <wps:cNvSpPr txBox="1"/>
                      <wps:spPr>
                        <a:xfrm>
                          <a:off x="0" y="0"/>
                          <a:ext cx="1129030" cy="397510"/>
                        </a:xfrm>
                        <a:prstGeom prst="rect"/>
                        <a:solidFill>
                          <a:srgbClr val="FFFFFF"/>
                        </a:solidFill>
                      </wps:spPr>
                      <wps:txbx>
                        <w:txbxContent>
                          <w:p>
                            <w:pPr>
                              <w:pStyle w:val="Normal"/>
                              <w:rPr/>
                            </w:pPr>
                            <w:r>
                              <w:rPr/>
                              <w:t>Appointment of Experts</w:t>
                            </w:r>
                            <w:r>
                              <w:rPr>
                                <w:vertAlign w:val="superscript"/>
                              </w:rPr>
                              <w:t>1</w:t>
                            </w:r>
                          </w:p>
                        </w:txbxContent>
                      </wps:txbx>
                      <wps:bodyPr anchor="t" lIns="92075" tIns="46355" rIns="92075" bIns="46355">
                        <a:noAutofit/>
                      </wps:bodyPr>
                    </wps:wsp>
                  </a:graphicData>
                </a:graphic>
              </wp:anchor>
            </w:drawing>
          </mc:Choice>
          <mc:Fallback>
            <w:pict>
              <v:rect fillcolor="#FFFFFF" style="position:absolute;rotation:-0;width:88.9pt;height:31.3pt;mso-wrap-distance-left:9.05pt;mso-wrap-distance-right:9.05pt;mso-wrap-distance-top:0pt;mso-wrap-distance-bottom:0pt;margin-top:138.4pt;mso-position-vertical-relative:text;margin-left:42.15pt;mso-position-horizontal-relative:text">
                <v:textbox inset="0.100694444444444in,0.0506944444444444in,0.100694444444444in,0.0506944444444444in">
                  <w:txbxContent>
                    <w:p>
                      <w:pPr>
                        <w:pStyle w:val="Normal"/>
                        <w:rPr/>
                      </w:pPr>
                      <w:r>
                        <w:rPr/>
                        <w:t>Appointment of Experts</w:t>
                      </w:r>
                      <w:r>
                        <w:rPr>
                          <w:vertAlign w:val="superscript"/>
                        </w:rPr>
                        <w:t>1</w:t>
                      </w:r>
                    </w:p>
                  </w:txbxContent>
                </v:textbox>
                <w10:wrap type="none"/>
              </v:rect>
            </w:pict>
          </mc:Fallback>
        </mc:AlternateContent>
      </w:r>
      <w:r>
        <mc:AlternateContent>
          <mc:Choice Requires="wps">
            <w:drawing>
              <wp:anchor behindDoc="0" distT="0" distB="0" distL="114935" distR="114935" simplePos="0" locked="0" layoutInCell="1" allowOverlap="1" relativeHeight="11">
                <wp:simplePos x="0" y="0"/>
                <wp:positionH relativeFrom="column">
                  <wp:posOffset>2179955</wp:posOffset>
                </wp:positionH>
                <wp:positionV relativeFrom="paragraph">
                  <wp:posOffset>1781810</wp:posOffset>
                </wp:positionV>
                <wp:extent cx="1161415" cy="414020"/>
                <wp:effectExtent l="0" t="0" r="0" b="0"/>
                <wp:wrapNone/>
                <wp:docPr id="29" name="Frame10"/>
                <a:graphic xmlns:a="http://schemas.openxmlformats.org/drawingml/2006/main">
                  <a:graphicData uri="http://schemas.microsoft.com/office/word/2010/wordprocessingShape">
                    <wps:wsp>
                      <wps:cNvSpPr txBox="1"/>
                      <wps:spPr>
                        <a:xfrm>
                          <a:off x="0" y="0"/>
                          <a:ext cx="1161415" cy="414020"/>
                        </a:xfrm>
                        <a:prstGeom prst="rect"/>
                        <a:solidFill>
                          <a:srgbClr val="FFFFFF"/>
                        </a:solidFill>
                      </wps:spPr>
                      <wps:txbx>
                        <w:txbxContent>
                          <w:p>
                            <w:pPr>
                              <w:pStyle w:val="Normal"/>
                              <w:rPr/>
                            </w:pPr>
                            <w:r>
                              <w:rPr/>
                              <w:t>Appointment of Valuers</w:t>
                            </w:r>
                            <w:r>
                              <w:rPr>
                                <w:vertAlign w:val="superscript"/>
                              </w:rPr>
                              <w:t>2</w:t>
                            </w:r>
                          </w:p>
                        </w:txbxContent>
                      </wps:txbx>
                      <wps:bodyPr anchor="t" lIns="92075" tIns="46355" rIns="92075" bIns="46355">
                        <a:noAutofit/>
                      </wps:bodyPr>
                    </wps:wsp>
                  </a:graphicData>
                </a:graphic>
              </wp:anchor>
            </w:drawing>
          </mc:Choice>
          <mc:Fallback>
            <w:pict>
              <v:rect fillcolor="#FFFFFF" style="position:absolute;rotation:-0;width:91.45pt;height:32.6pt;mso-wrap-distance-left:9.05pt;mso-wrap-distance-right:9.05pt;mso-wrap-distance-top:0pt;mso-wrap-distance-bottom:0pt;margin-top:140.3pt;mso-position-vertical-relative:text;margin-left:171.65pt;mso-position-horizontal-relative:text">
                <v:textbox inset="0.100694444444444in,0.0506944444444444in,0.100694444444444in,0.0506944444444444in">
                  <w:txbxContent>
                    <w:p>
                      <w:pPr>
                        <w:pStyle w:val="Normal"/>
                        <w:rPr/>
                      </w:pPr>
                      <w:r>
                        <w:rPr/>
                        <w:t>Appointment of Valuers</w:t>
                      </w:r>
                      <w:r>
                        <w:rPr>
                          <w:vertAlign w:val="superscript"/>
                        </w:rPr>
                        <w:t>2</w:t>
                      </w:r>
                    </w:p>
                  </w:txbxContent>
                </v:textbox>
                <w10:wrap type="none"/>
              </v:rect>
            </w:pict>
          </mc:Fallback>
        </mc:AlternateContent>
      </w:r>
      <w:r>
        <mc:AlternateContent>
          <mc:Choice Requires="wps">
            <w:drawing>
              <wp:anchor behindDoc="0" distT="0" distB="0" distL="114935" distR="114935" simplePos="0" locked="0" layoutInCell="1" allowOverlap="1" relativeHeight="12">
                <wp:simplePos x="0" y="0"/>
                <wp:positionH relativeFrom="column">
                  <wp:posOffset>3723005</wp:posOffset>
                </wp:positionH>
                <wp:positionV relativeFrom="paragraph">
                  <wp:posOffset>1797050</wp:posOffset>
                </wp:positionV>
                <wp:extent cx="1192530" cy="413385"/>
                <wp:effectExtent l="0" t="0" r="0" b="0"/>
                <wp:wrapNone/>
                <wp:docPr id="30" name="Frame11"/>
                <a:graphic xmlns:a="http://schemas.openxmlformats.org/drawingml/2006/main">
                  <a:graphicData uri="http://schemas.microsoft.com/office/word/2010/wordprocessingShape">
                    <wps:wsp>
                      <wps:cNvSpPr txBox="1"/>
                      <wps:spPr>
                        <a:xfrm>
                          <a:off x="0" y="0"/>
                          <a:ext cx="1192530" cy="413385"/>
                        </a:xfrm>
                        <a:prstGeom prst="rect"/>
                        <a:solidFill>
                          <a:srgbClr val="FFFFFF"/>
                        </a:solidFill>
                      </wps:spPr>
                      <wps:txbx>
                        <w:txbxContent>
                          <w:p>
                            <w:pPr>
                              <w:pStyle w:val="Normal"/>
                              <w:rPr/>
                            </w:pPr>
                            <w:r>
                              <w:rPr/>
                              <w:t>Appointment          of Accountants</w:t>
                            </w:r>
                            <w:r>
                              <w:rPr>
                                <w:vertAlign w:val="superscript"/>
                              </w:rPr>
                              <w:t>3</w:t>
                            </w:r>
                          </w:p>
                        </w:txbxContent>
                      </wps:txbx>
                      <wps:bodyPr anchor="t" lIns="92075" tIns="46355" rIns="92075" bIns="46355">
                        <a:noAutofit/>
                      </wps:bodyPr>
                    </wps:wsp>
                  </a:graphicData>
                </a:graphic>
              </wp:anchor>
            </w:drawing>
          </mc:Choice>
          <mc:Fallback>
            <w:pict>
              <v:rect fillcolor="#FFFFFF" style="position:absolute;rotation:-0;width:93.9pt;height:32.55pt;mso-wrap-distance-left:9.05pt;mso-wrap-distance-right:9.05pt;mso-wrap-distance-top:0pt;mso-wrap-distance-bottom:0pt;margin-top:141.5pt;mso-position-vertical-relative:text;margin-left:293.15pt;mso-position-horizontal-relative:text">
                <v:textbox inset="0.100694444444444in,0.0506944444444444in,0.100694444444444in,0.0506944444444444in">
                  <w:txbxContent>
                    <w:p>
                      <w:pPr>
                        <w:pStyle w:val="Normal"/>
                        <w:rPr/>
                      </w:pPr>
                      <w:r>
                        <w:rPr/>
                        <w:t>Appointment          of Accountants</w:t>
                      </w:r>
                      <w:r>
                        <w:rPr>
                          <w:vertAlign w:val="superscript"/>
                        </w:rPr>
                        <w:t>3</w:t>
                      </w:r>
                    </w:p>
                  </w:txbxContent>
                </v:textbox>
                <w10:wrap type="none"/>
              </v:rect>
            </w:pict>
          </mc:Fallback>
        </mc:AlternateContent>
      </w:r>
      <w:r>
        <mc:AlternateContent>
          <mc:Choice Requires="wps">
            <w:drawing>
              <wp:anchor behindDoc="0" distT="0" distB="0" distL="114935" distR="114935" simplePos="0" locked="0" layoutInCell="1" allowOverlap="1" relativeHeight="15">
                <wp:simplePos x="0" y="0"/>
                <wp:positionH relativeFrom="column">
                  <wp:posOffset>33020</wp:posOffset>
                </wp:positionH>
                <wp:positionV relativeFrom="paragraph">
                  <wp:posOffset>2499360</wp:posOffset>
                </wp:positionV>
                <wp:extent cx="1932940" cy="810260"/>
                <wp:effectExtent l="0" t="0" r="0" b="0"/>
                <wp:wrapNone/>
                <wp:docPr id="31" name="Frame7"/>
                <a:graphic xmlns:a="http://schemas.openxmlformats.org/drawingml/2006/main">
                  <a:graphicData uri="http://schemas.microsoft.com/office/word/2010/wordprocessingShape">
                    <wps:wsp>
                      <wps:cNvSpPr txBox="1"/>
                      <wps:spPr>
                        <a:xfrm>
                          <a:off x="0" y="0"/>
                          <a:ext cx="1932940" cy="810260"/>
                        </a:xfrm>
                        <a:prstGeom prst="rect"/>
                        <a:solidFill>
                          <a:srgbClr val="FFFFFF"/>
                        </a:solidFill>
                      </wps:spPr>
                      <wps:txbx>
                        <w:txbxContent>
                          <w:p>
                            <w:pPr>
                              <w:pStyle w:val="Normal"/>
                              <w:rPr/>
                            </w:pPr>
                            <w:r>
                              <w:rPr/>
                              <w:t>Confirmation of which Expert (financial or technical) carries out determination of Revenue Amount components</w:t>
                            </w:r>
                          </w:p>
                        </w:txbxContent>
                      </wps:txbx>
                      <wps:bodyPr anchor="t" lIns="92075" tIns="46355" rIns="92075" bIns="46355">
                        <a:noAutofit/>
                      </wps:bodyPr>
                    </wps:wsp>
                  </a:graphicData>
                </a:graphic>
              </wp:anchor>
            </w:drawing>
          </mc:Choice>
          <mc:Fallback>
            <w:pict>
              <v:rect fillcolor="#FFFFFF" style="position:absolute;rotation:-0;width:152.2pt;height:63.8pt;mso-wrap-distance-left:9.05pt;mso-wrap-distance-right:9.05pt;mso-wrap-distance-top:0pt;mso-wrap-distance-bottom:0pt;margin-top:196.8pt;mso-position-vertical-relative:text;margin-left:2.6pt;mso-position-horizontal-relative:text">
                <v:textbox inset="0.100694444444444in,0.0506944444444444in,0.100694444444444in,0.0506944444444444in">
                  <w:txbxContent>
                    <w:p>
                      <w:pPr>
                        <w:pStyle w:val="Normal"/>
                        <w:rPr/>
                      </w:pPr>
                      <w:r>
                        <w:rPr/>
                        <w:t>Confirmation of which Expert (financial or technical) carries out determination of Revenue Amount components</w:t>
                      </w:r>
                    </w:p>
                  </w:txbxContent>
                </v:textbox>
                <w10:wrap type="none"/>
              </v:rect>
            </w:pict>
          </mc:Fallback>
        </mc:AlternateContent>
      </w:r>
      <w:r>
        <mc:AlternateContent>
          <mc:Choice Requires="wps">
            <w:drawing>
              <wp:anchor behindDoc="0" distT="0" distB="0" distL="114935" distR="114935" simplePos="0" locked="0" layoutInCell="1" allowOverlap="1" relativeHeight="16">
                <wp:simplePos x="0" y="0"/>
                <wp:positionH relativeFrom="column">
                  <wp:posOffset>2251710</wp:posOffset>
                </wp:positionH>
                <wp:positionV relativeFrom="paragraph">
                  <wp:posOffset>2713990</wp:posOffset>
                </wp:positionV>
                <wp:extent cx="1041400" cy="429895"/>
                <wp:effectExtent l="0" t="0" r="0" b="0"/>
                <wp:wrapNone/>
                <wp:docPr id="32" name="Frame8"/>
                <a:graphic xmlns:a="http://schemas.openxmlformats.org/drawingml/2006/main">
                  <a:graphicData uri="http://schemas.microsoft.com/office/word/2010/wordprocessingShape">
                    <wps:wsp>
                      <wps:cNvSpPr txBox="1"/>
                      <wps:spPr>
                        <a:xfrm>
                          <a:off x="0" y="0"/>
                          <a:ext cx="1041400" cy="429895"/>
                        </a:xfrm>
                        <a:prstGeom prst="rect"/>
                        <a:solidFill>
                          <a:srgbClr val="FFFFFF"/>
                        </a:solidFill>
                      </wps:spPr>
                      <wps:txbx>
                        <w:txbxContent>
                          <w:p>
                            <w:pPr>
                              <w:pStyle w:val="Normal"/>
                              <w:rPr/>
                            </w:pPr>
                            <w:r>
                              <w:rPr/>
                              <w:t>Valuer certifies DRC Valuation</w:t>
                            </w:r>
                          </w:p>
                        </w:txbxContent>
                      </wps:txbx>
                      <wps:bodyPr anchor="t" lIns="92075" tIns="46355" rIns="92075" bIns="46355">
                        <a:noAutofit/>
                      </wps:bodyPr>
                    </wps:wsp>
                  </a:graphicData>
                </a:graphic>
              </wp:anchor>
            </w:drawing>
          </mc:Choice>
          <mc:Fallback>
            <w:pict>
              <v:rect fillcolor="#FFFFFF" style="position:absolute;rotation:-0;width:82pt;height:33.85pt;mso-wrap-distance-left:9.05pt;mso-wrap-distance-right:9.05pt;mso-wrap-distance-top:0pt;mso-wrap-distance-bottom:0pt;margin-top:213.7pt;mso-position-vertical-relative:text;margin-left:177.3pt;mso-position-horizontal-relative:text">
                <v:textbox inset="0.100694444444444in,0.0506944444444444in,0.100694444444444in,0.0506944444444444in">
                  <w:txbxContent>
                    <w:p>
                      <w:pPr>
                        <w:pStyle w:val="Normal"/>
                        <w:rPr/>
                      </w:pPr>
                      <w:r>
                        <w:rPr/>
                        <w:t>Valuer certifies DRC Valuation</w:t>
                      </w:r>
                    </w:p>
                  </w:txbxContent>
                </v:textbox>
                <w10:wrap type="none"/>
              </v:rect>
            </w:pict>
          </mc:Fallback>
        </mc:AlternateContent>
      </w:r>
      <w:r>
        <mc:AlternateContent>
          <mc:Choice Requires="wps">
            <w:drawing>
              <wp:anchor behindDoc="0" distT="0" distB="0" distL="114935" distR="114935" simplePos="0" locked="0" layoutInCell="1" allowOverlap="1" relativeHeight="18">
                <wp:simplePos x="0" y="0"/>
                <wp:positionH relativeFrom="column">
                  <wp:posOffset>-235585</wp:posOffset>
                </wp:positionH>
                <wp:positionV relativeFrom="paragraph">
                  <wp:posOffset>3673475</wp:posOffset>
                </wp:positionV>
                <wp:extent cx="2607945" cy="2143760"/>
                <wp:effectExtent l="0" t="0" r="0" b="0"/>
                <wp:wrapNone/>
                <wp:docPr id="33" name="Frame6"/>
                <a:graphic xmlns:a="http://schemas.openxmlformats.org/drawingml/2006/main">
                  <a:graphicData uri="http://schemas.microsoft.com/office/word/2010/wordprocessingShape">
                    <wps:wsp>
                      <wps:cNvSpPr txBox="1"/>
                      <wps:spPr>
                        <a:xfrm>
                          <a:off x="0" y="0"/>
                          <a:ext cx="2607945" cy="2143760"/>
                        </a:xfrm>
                        <a:prstGeom prst="rect"/>
                        <a:solidFill>
                          <a:srgbClr val="FFFFFF"/>
                        </a:solidFill>
                      </wps:spPr>
                      <wps:txbx>
                        <w:txbxContent>
                          <w:p>
                            <w:pPr>
                              <w:pStyle w:val="Body"/>
                              <w:jc w:val="start"/>
                              <w:rPr/>
                            </w:pPr>
                            <w:r>
                              <w:rPr/>
                              <w:t>Expert determines:</w:t>
                            </w:r>
                          </w:p>
                          <w:p>
                            <w:pPr>
                              <w:pStyle w:val="Body"/>
                              <w:spacing w:lineRule="auto" w:line="240" w:before="60" w:after="60"/>
                              <w:jc w:val="start"/>
                              <w:rPr/>
                            </w:pPr>
                            <w:r>
                              <w:rPr>
                                <w:rFonts w:eastAsia="Symbol" w:cs="Symbol" w:ascii="Symbol" w:hAnsi="Symbol"/>
                              </w:rPr>
                              <w:sym w:font="Symbol" w:char="f0b7"/>
                            </w:r>
                            <w:r>
                              <w:rPr/>
                              <w:tab/>
                              <w:t>projected income;</w:t>
                              <w:br/>
                            </w:r>
                            <w:r>
                              <w:rPr>
                                <w:rFonts w:eastAsia="Symbol" w:cs="Symbol" w:ascii="Symbol" w:hAnsi="Symbol"/>
                              </w:rPr>
                              <w:sym w:font="Symbol" w:char="f0b7"/>
                            </w:r>
                            <w:r>
                              <w:rPr/>
                              <w:tab/>
                              <w:t>projected expenditure;</w:t>
                              <w:br/>
                            </w:r>
                            <w:r>
                              <w:rPr>
                                <w:rFonts w:eastAsia="Symbol" w:cs="Symbol" w:ascii="Symbol" w:hAnsi="Symbol"/>
                              </w:rPr>
                              <w:sym w:font="Symbol" w:char="f0b7"/>
                            </w:r>
                            <w:r>
                              <w:rPr/>
                              <w:tab/>
                              <w:t>projected change in working capital</w:t>
                              <w:br/>
                            </w:r>
                            <w:r>
                              <w:rPr>
                                <w:rFonts w:eastAsia="Symbol" w:cs="Symbol" w:ascii="Symbol" w:hAnsi="Symbol"/>
                              </w:rPr>
                              <w:sym w:font="Symbol" w:char="f0b7"/>
                            </w:r>
                            <w:r>
                              <w:rPr/>
                              <w:t xml:space="preserve"> </w:t>
                              <w:tab/>
                              <w:t>“adjustment”</w:t>
                              <w:br/>
                            </w:r>
                            <w:r>
                              <w:rPr>
                                <w:rFonts w:eastAsia="Symbol" w:cs="Symbol" w:ascii="Symbol" w:hAnsi="Symbol"/>
                              </w:rPr>
                              <w:sym w:font="Symbol" w:char="f0b7"/>
                            </w:r>
                            <w:r>
                              <w:rPr/>
                              <w:tab/>
                              <w:t>projected annually income</w:t>
                              <w:br/>
                            </w:r>
                            <w:r>
                              <w:rPr>
                                <w:rFonts w:eastAsia="Symbol" w:cs="Symbol" w:ascii="Symbol" w:hAnsi="Symbol"/>
                              </w:rPr>
                              <w:sym w:font="Symbol" w:char="f0b7"/>
                            </w:r>
                            <w:r>
                              <w:rPr/>
                              <w:tab/>
                              <w:t>accrued liabilities to Operator and</w:t>
                              <w:br/>
                              <w:t xml:space="preserve">          Fund Manager</w:t>
                              <w:br/>
                            </w:r>
                            <w:r>
                              <w:rPr>
                                <w:rFonts w:eastAsia="Symbol" w:cs="Symbol" w:ascii="Symbol" w:hAnsi="Symbol"/>
                              </w:rPr>
                              <w:sym w:font="Symbol" w:char="f0b7"/>
                            </w:r>
                            <w:r>
                              <w:rPr/>
                              <w:tab/>
                              <w:t>exclusions from Total Debt</w:t>
                              <w:tab/>
                              <w:t>Amount/exclusions from LNG facility</w:t>
                              <w:br/>
                              <w:t xml:space="preserve">          assets</w:t>
                            </w:r>
                          </w:p>
                        </w:txbxContent>
                      </wps:txbx>
                      <wps:bodyPr anchor="t" lIns="92075" tIns="46355" rIns="92075" bIns="46355">
                        <a:noAutofit/>
                      </wps:bodyPr>
                    </wps:wsp>
                  </a:graphicData>
                </a:graphic>
              </wp:anchor>
            </w:drawing>
          </mc:Choice>
          <mc:Fallback>
            <w:pict>
              <v:rect fillcolor="#FFFFFF" style="position:absolute;rotation:-0;width:205.35pt;height:168.8pt;mso-wrap-distance-left:9.05pt;mso-wrap-distance-right:9.05pt;mso-wrap-distance-top:0pt;mso-wrap-distance-bottom:0pt;margin-top:289.25pt;mso-position-vertical-relative:text;margin-left:-18.55pt;mso-position-horizontal-relative:text">
                <v:textbox inset="0.100694444444444in,0.0506944444444444in,0.100694444444444in,0.0506944444444444in">
                  <w:txbxContent>
                    <w:p>
                      <w:pPr>
                        <w:pStyle w:val="Body"/>
                        <w:jc w:val="start"/>
                        <w:rPr/>
                      </w:pPr>
                      <w:r>
                        <w:rPr/>
                        <w:t>Expert determines:</w:t>
                      </w:r>
                    </w:p>
                    <w:p>
                      <w:pPr>
                        <w:pStyle w:val="Body"/>
                        <w:spacing w:lineRule="auto" w:line="240" w:before="60" w:after="60"/>
                        <w:jc w:val="start"/>
                        <w:rPr/>
                      </w:pPr>
                      <w:r>
                        <w:rPr>
                          <w:rFonts w:eastAsia="Symbol" w:cs="Symbol" w:ascii="Symbol" w:hAnsi="Symbol"/>
                        </w:rPr>
                        <w:sym w:font="Symbol" w:char="f0b7"/>
                      </w:r>
                      <w:r>
                        <w:rPr/>
                        <w:tab/>
                        <w:t>projected income;</w:t>
                        <w:br/>
                      </w:r>
                      <w:r>
                        <w:rPr>
                          <w:rFonts w:eastAsia="Symbol" w:cs="Symbol" w:ascii="Symbol" w:hAnsi="Symbol"/>
                        </w:rPr>
                        <w:sym w:font="Symbol" w:char="f0b7"/>
                      </w:r>
                      <w:r>
                        <w:rPr/>
                        <w:tab/>
                        <w:t>projected expenditure;</w:t>
                        <w:br/>
                      </w:r>
                      <w:r>
                        <w:rPr>
                          <w:rFonts w:eastAsia="Symbol" w:cs="Symbol" w:ascii="Symbol" w:hAnsi="Symbol"/>
                        </w:rPr>
                        <w:sym w:font="Symbol" w:char="f0b7"/>
                      </w:r>
                      <w:r>
                        <w:rPr/>
                        <w:tab/>
                        <w:t>projected change in working capital</w:t>
                        <w:br/>
                      </w:r>
                      <w:r>
                        <w:rPr>
                          <w:rFonts w:eastAsia="Symbol" w:cs="Symbol" w:ascii="Symbol" w:hAnsi="Symbol"/>
                        </w:rPr>
                        <w:sym w:font="Symbol" w:char="f0b7"/>
                      </w:r>
                      <w:r>
                        <w:rPr/>
                        <w:t xml:space="preserve"> </w:t>
                        <w:tab/>
                        <w:t>“adjustment”</w:t>
                        <w:br/>
                      </w:r>
                      <w:r>
                        <w:rPr>
                          <w:rFonts w:eastAsia="Symbol" w:cs="Symbol" w:ascii="Symbol" w:hAnsi="Symbol"/>
                        </w:rPr>
                        <w:sym w:font="Symbol" w:char="f0b7"/>
                      </w:r>
                      <w:r>
                        <w:rPr/>
                        <w:tab/>
                        <w:t>projected annually income</w:t>
                        <w:br/>
                      </w:r>
                      <w:r>
                        <w:rPr>
                          <w:rFonts w:eastAsia="Symbol" w:cs="Symbol" w:ascii="Symbol" w:hAnsi="Symbol"/>
                        </w:rPr>
                        <w:sym w:font="Symbol" w:char="f0b7"/>
                      </w:r>
                      <w:r>
                        <w:rPr/>
                        <w:tab/>
                        <w:t>accrued liabilities to Operator and</w:t>
                        <w:br/>
                        <w:t xml:space="preserve">          Fund Manager</w:t>
                        <w:br/>
                      </w:r>
                      <w:r>
                        <w:rPr>
                          <w:rFonts w:eastAsia="Symbol" w:cs="Symbol" w:ascii="Symbol" w:hAnsi="Symbol"/>
                        </w:rPr>
                        <w:sym w:font="Symbol" w:char="f0b7"/>
                      </w:r>
                      <w:r>
                        <w:rPr/>
                        <w:tab/>
                        <w:t>exclusions from Total Debt</w:t>
                        <w:tab/>
                        <w:t>Amount/exclusions from LNG facility</w:t>
                        <w:br/>
                        <w:t xml:space="preserve">          assets</w:t>
                      </w:r>
                    </w:p>
                  </w:txbxContent>
                </v:textbox>
                <w10:wrap type="none"/>
              </v:rect>
            </w:pict>
          </mc:Fallback>
        </mc:AlternateContent>
      </w:r>
      <w:r>
        <mc:AlternateContent>
          <mc:Choice Requires="wps">
            <w:drawing>
              <wp:anchor behindDoc="0" distT="0" distB="0" distL="114935" distR="114935" simplePos="0" locked="0" layoutInCell="1" allowOverlap="1" relativeHeight="20">
                <wp:simplePos x="0" y="0"/>
                <wp:positionH relativeFrom="column">
                  <wp:posOffset>732155</wp:posOffset>
                </wp:positionH>
                <wp:positionV relativeFrom="paragraph">
                  <wp:posOffset>6236335</wp:posOffset>
                </wp:positionV>
                <wp:extent cx="2520315" cy="389890"/>
                <wp:effectExtent l="0" t="0" r="0" b="0"/>
                <wp:wrapNone/>
                <wp:docPr id="34" name="Frame5"/>
                <a:graphic xmlns:a="http://schemas.openxmlformats.org/drawingml/2006/main">
                  <a:graphicData uri="http://schemas.microsoft.com/office/word/2010/wordprocessingShape">
                    <wps:wsp>
                      <wps:cNvSpPr txBox="1"/>
                      <wps:spPr>
                        <a:xfrm>
                          <a:off x="0" y="0"/>
                          <a:ext cx="2520315" cy="389890"/>
                        </a:xfrm>
                        <a:prstGeom prst="rect"/>
                        <a:solidFill>
                          <a:srgbClr val="FFFFFF"/>
                        </a:solidFill>
                      </wps:spPr>
                      <wps:txbx>
                        <w:txbxContent>
                          <w:p>
                            <w:pPr>
                              <w:pStyle w:val="Normal"/>
                              <w:rPr/>
                            </w:pPr>
                            <w:r>
                              <w:rPr/>
                              <w:t>DPC submits provisional Termination Statement to Accountants</w:t>
                            </w:r>
                          </w:p>
                        </w:txbxContent>
                      </wps:txbx>
                      <wps:bodyPr anchor="t" lIns="92075" tIns="46355" rIns="92075" bIns="46355">
                        <a:noAutofit/>
                      </wps:bodyPr>
                    </wps:wsp>
                  </a:graphicData>
                </a:graphic>
              </wp:anchor>
            </w:drawing>
          </mc:Choice>
          <mc:Fallback>
            <w:pict>
              <v:rect fillcolor="#FFFFFF" style="position:absolute;rotation:-0;width:198.45pt;height:30.7pt;mso-wrap-distance-left:9.05pt;mso-wrap-distance-right:9.05pt;mso-wrap-distance-top:0pt;mso-wrap-distance-bottom:0pt;margin-top:491.05pt;mso-position-vertical-relative:text;margin-left:57.65pt;mso-position-horizontal-relative:text">
                <v:textbox inset="0.100694444444444in,0.0506944444444444in,0.100694444444444in,0.0506944444444444in">
                  <w:txbxContent>
                    <w:p>
                      <w:pPr>
                        <w:pStyle w:val="Normal"/>
                        <w:rPr/>
                      </w:pPr>
                      <w:r>
                        <w:rPr/>
                        <w:t>DPC submits provisional Termination Statement to Accountants</w:t>
                      </w:r>
                    </w:p>
                  </w:txbxContent>
                </v:textbox>
                <w10:wrap type="none"/>
              </v:rect>
            </w:pict>
          </mc:Fallback>
        </mc:AlternateContent>
      </w:r>
      <w:r>
        <mc:AlternateContent>
          <mc:Choice Requires="wps">
            <w:drawing>
              <wp:anchor behindDoc="0" distT="0" distB="0" distL="114935" distR="114935" simplePos="0" locked="0" layoutInCell="1" allowOverlap="1" relativeHeight="22">
                <wp:simplePos x="0" y="0"/>
                <wp:positionH relativeFrom="column">
                  <wp:posOffset>2569845</wp:posOffset>
                </wp:positionH>
                <wp:positionV relativeFrom="paragraph">
                  <wp:posOffset>7142480</wp:posOffset>
                </wp:positionV>
                <wp:extent cx="2552065" cy="413385"/>
                <wp:effectExtent l="0" t="0" r="0" b="0"/>
                <wp:wrapNone/>
                <wp:docPr id="35" name="Frame4"/>
                <a:graphic xmlns:a="http://schemas.openxmlformats.org/drawingml/2006/main">
                  <a:graphicData uri="http://schemas.microsoft.com/office/word/2010/wordprocessingShape">
                    <wps:wsp>
                      <wps:cNvSpPr txBox="1"/>
                      <wps:spPr>
                        <a:xfrm>
                          <a:off x="0" y="0"/>
                          <a:ext cx="2552065" cy="413385"/>
                        </a:xfrm>
                        <a:prstGeom prst="rect"/>
                        <a:solidFill>
                          <a:srgbClr val="FFFFFF"/>
                        </a:solidFill>
                      </wps:spPr>
                      <wps:txbx>
                        <w:txbxContent>
                          <w:p>
                            <w:pPr>
                              <w:pStyle w:val="Normal"/>
                              <w:rPr/>
                            </w:pPr>
                            <w:r>
                              <w:rPr/>
                              <w:t>Accountants review PTS and issue report and certificate to both parties</w:t>
                            </w:r>
                          </w:p>
                        </w:txbxContent>
                      </wps:txbx>
                      <wps:bodyPr anchor="t" lIns="92075" tIns="46355" rIns="92075" bIns="46355">
                        <a:noAutofit/>
                      </wps:bodyPr>
                    </wps:wsp>
                  </a:graphicData>
                </a:graphic>
              </wp:anchor>
            </w:drawing>
          </mc:Choice>
          <mc:Fallback>
            <w:pict>
              <v:rect fillcolor="#FFFFFF" style="position:absolute;rotation:-0;width:200.95pt;height:32.55pt;mso-wrap-distance-left:9.05pt;mso-wrap-distance-right:9.05pt;mso-wrap-distance-top:0pt;mso-wrap-distance-bottom:0pt;margin-top:562.4pt;mso-position-vertical-relative:text;margin-left:202.35pt;mso-position-horizontal-relative:text">
                <v:textbox inset="0.100694444444444in,0.0506944444444444in,0.100694444444444in,0.0506944444444444in">
                  <w:txbxContent>
                    <w:p>
                      <w:pPr>
                        <w:pStyle w:val="Normal"/>
                        <w:rPr/>
                      </w:pPr>
                      <w:r>
                        <w:rPr/>
                        <w:t>Accountants review PTS and issue report and certificate to both parties</w:t>
                      </w:r>
                    </w:p>
                  </w:txbxContent>
                </v:textbox>
                <w10:wrap type="none"/>
              </v:rect>
            </w:pict>
          </mc:Fallback>
        </mc:AlternateContent>
      </w:r>
      <w:r>
        <mc:AlternateContent>
          <mc:Choice Requires="wps">
            <w:drawing>
              <wp:anchor behindDoc="0" distT="0" distB="0" distL="114935" distR="114935" simplePos="0" locked="0" layoutInCell="1" allowOverlap="1" relativeHeight="26">
                <wp:simplePos x="0" y="0"/>
                <wp:positionH relativeFrom="column">
                  <wp:posOffset>-348615</wp:posOffset>
                </wp:positionH>
                <wp:positionV relativeFrom="paragraph">
                  <wp:posOffset>7789545</wp:posOffset>
                </wp:positionV>
                <wp:extent cx="6114415" cy="842010"/>
                <wp:effectExtent l="0" t="0" r="0" b="0"/>
                <wp:wrapNone/>
                <wp:docPr id="36" name="Frame3"/>
                <a:graphic xmlns:a="http://schemas.openxmlformats.org/drawingml/2006/main">
                  <a:graphicData uri="http://schemas.microsoft.com/office/word/2010/wordprocessingShape">
                    <wps:wsp>
                      <wps:cNvSpPr txBox="1"/>
                      <wps:spPr>
                        <a:xfrm>
                          <a:off x="0" y="0"/>
                          <a:ext cx="6114415" cy="842010"/>
                        </a:xfrm>
                        <a:prstGeom prst="rect"/>
                        <a:solidFill>
                          <a:srgbClr val="FFFFFF"/>
                        </a:solidFill>
                      </wps:spPr>
                      <wps:txbx>
                        <w:txbxContent>
                          <w:p>
                            <w:pPr>
                              <w:pStyle w:val="Body"/>
                              <w:spacing w:before="0" w:after="60"/>
                              <w:ind w:hanging="567" w:start="567" w:end="0"/>
                              <w:rPr>
                                <w:sz w:val="16"/>
                              </w:rPr>
                            </w:pPr>
                            <w:r>
                              <w:rPr>
                                <w:sz w:val="16"/>
                              </w:rPr>
                              <w:t>1</w:t>
                              <w:tab/>
                              <w:t>Can be done in advance of service of PTN. Appointed in default of agreement by President of Electricity Supply Industry Arbitration Association of England and Wales.</w:t>
                            </w:r>
                          </w:p>
                          <w:p>
                            <w:pPr>
                              <w:pStyle w:val="Body"/>
                              <w:spacing w:before="0" w:after="60"/>
                              <w:rPr>
                                <w:sz w:val="16"/>
                              </w:rPr>
                            </w:pPr>
                            <w:r>
                              <w:rPr>
                                <w:sz w:val="16"/>
                              </w:rPr>
                              <w:t>2</w:t>
                              <w:tab/>
                              <w:t>Appointed in default of agreement within 15 days by President of Royal Institution of Chartered Surveyors.</w:t>
                            </w:r>
                          </w:p>
                          <w:p>
                            <w:pPr>
                              <w:pStyle w:val="Body"/>
                              <w:spacing w:before="0" w:after="60"/>
                              <w:ind w:hanging="567" w:start="567" w:end="0"/>
                              <w:rPr>
                                <w:sz w:val="16"/>
                              </w:rPr>
                            </w:pPr>
                            <w:r>
                              <w:rPr>
                                <w:sz w:val="16"/>
                              </w:rPr>
                              <w:t>3</w:t>
                              <w:tab/>
                              <w:t>Appointed in default of agreement within 15 days by the President of the Institute of Chartered Accountants of England and Wales.</w:t>
                            </w:r>
                          </w:p>
                        </w:txbxContent>
                      </wps:txbx>
                      <wps:bodyPr anchor="t" lIns="92075" tIns="46355" rIns="92075" bIns="46355">
                        <a:noAutofit/>
                      </wps:bodyPr>
                    </wps:wsp>
                  </a:graphicData>
                </a:graphic>
              </wp:anchor>
            </w:drawing>
          </mc:Choice>
          <mc:Fallback>
            <w:pict>
              <v:rect fillcolor="#FFFFFF" style="position:absolute;rotation:-0;width:481.45pt;height:66.3pt;mso-wrap-distance-left:9.05pt;mso-wrap-distance-right:9.05pt;mso-wrap-distance-top:0pt;mso-wrap-distance-bottom:0pt;margin-top:613.35pt;mso-position-vertical-relative:text;margin-left:-27.45pt;mso-position-horizontal-relative:text">
                <v:textbox inset="0.100694444444444in,0.0506944444444444in,0.100694444444444in,0.0506944444444444in">
                  <w:txbxContent>
                    <w:p>
                      <w:pPr>
                        <w:pStyle w:val="Body"/>
                        <w:spacing w:before="0" w:after="60"/>
                        <w:ind w:hanging="567" w:start="567" w:end="0"/>
                        <w:rPr>
                          <w:sz w:val="16"/>
                        </w:rPr>
                      </w:pPr>
                      <w:r>
                        <w:rPr>
                          <w:sz w:val="16"/>
                        </w:rPr>
                        <w:t>1</w:t>
                        <w:tab/>
                        <w:t>Can be done in advance of service of PTN. Appointed in default of agreement by President of Electricity Supply Industry Arbitration Association of England and Wales.</w:t>
                      </w:r>
                    </w:p>
                    <w:p>
                      <w:pPr>
                        <w:pStyle w:val="Body"/>
                        <w:spacing w:before="0" w:after="60"/>
                        <w:rPr>
                          <w:sz w:val="16"/>
                        </w:rPr>
                      </w:pPr>
                      <w:r>
                        <w:rPr>
                          <w:sz w:val="16"/>
                        </w:rPr>
                        <w:t>2</w:t>
                        <w:tab/>
                        <w:t>Appointed in default of agreement within 15 days by President of Royal Institution of Chartered Surveyors.</w:t>
                      </w:r>
                    </w:p>
                    <w:p>
                      <w:pPr>
                        <w:pStyle w:val="Body"/>
                        <w:spacing w:before="0" w:after="60"/>
                        <w:ind w:hanging="567" w:start="567" w:end="0"/>
                        <w:rPr>
                          <w:sz w:val="16"/>
                        </w:rPr>
                      </w:pPr>
                      <w:r>
                        <w:rPr>
                          <w:sz w:val="16"/>
                        </w:rPr>
                        <w:t>3</w:t>
                        <w:tab/>
                        <w:t>Appointed in default of agreement within 15 days by the President of the Institute of Chartered Accountants of England and Wales.</w:t>
                      </w:r>
                    </w:p>
                  </w:txbxContent>
                </v:textbox>
                <w10:wrap type="none"/>
              </v:rect>
            </w:pict>
          </mc:Fallback>
        </mc:AlternateContent>
      </w:r>
    </w:p>
    <w:p>
      <w:pPr>
        <w:pStyle w:val="Body1"/>
        <w:spacing w:before="0" w:after="140"/>
        <w:jc w:val="end"/>
        <w:rPr>
          <w:lang w:val="en-US"/>
        </w:rPr>
      </w:pPr>
      <w:r>
        <w:rPr>
          <w:lang w:val="en-US"/>
        </w:rPr>
      </w:r>
    </w:p>
    <w:sectPr>
      <w:headerReference w:type="default" r:id="rId4"/>
      <w:footerReference w:type="default" r:id="rId5"/>
      <w:type w:val="nextPage"/>
      <w:pgSz w:w="11906" w:h="16838"/>
      <w:pgMar w:left="1588" w:right="1588" w:gutter="0" w:header="765" w:top="1701" w:footer="482" w:bottom="130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 w:name="Arial Narrow">
    <w:charset w:val="00" w:characterSet="windows-1252"/>
    <w:family w:val="swiss"/>
    <w:pitch w:val="variable"/>
  </w:font>
  <w:font w:name="MS Mincho">
    <w:charset w:val="80"/>
    <w:family w:val="roman"/>
    <w:pitch w:val="default"/>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1" w:color="000000"/>
      </w:pBdr>
      <w:rPr/>
    </w:pPr>
    <w:r>
      <w:rPr>
        <w:sz w:val="17"/>
      </w:rPr>
      <w:fldChar w:fldCharType="begin"/>
    </w:r>
    <w:r>
      <w:rPr>
        <w:sz w:val="17"/>
      </w:rPr>
      <w:instrText xml:space="preserve"> DOCPROPERTY "Document Number"</w:instrText>
    </w:r>
    <w:r>
      <w:rPr>
        <w:sz w:val="17"/>
      </w:rPr>
      <w:fldChar w:fldCharType="separate"/>
    </w:r>
    <w:r>
      <w:rPr>
        <w:sz w:val="17"/>
      </w:rPr>
      <w:t xml:space="preserve"> </w:t>
    </w:r>
    <w:r>
      <w:rPr>
        <w:sz w:val="17"/>
      </w:rPr>
      <w:fldChar w:fldCharType="end"/>
    </w:r>
    <w:r>
      <w:rPr>
        <w:sz w:val="17"/>
      </w:rPr>
      <w:t>/</w:t>
    </w:r>
    <w:r>
      <w:rPr>
        <w:sz w:val="17"/>
      </w:rPr>
      <w:fldChar w:fldCharType="begin"/>
    </w:r>
    <w:r>
      <w:rPr>
        <w:sz w:val="17"/>
      </w:rPr>
      <w:instrText xml:space="preserve"> DOCPROPERTY "Version"</w:instrText>
    </w:r>
    <w:r>
      <w:rPr>
        <w:sz w:val="17"/>
      </w:rPr>
      <w:fldChar w:fldCharType="separate"/>
    </w:r>
    <w:r>
      <w:rPr>
        <w:sz w:val="17"/>
      </w:rPr>
      <w:t xml:space="preserve"> </w:t>
    </w:r>
    <w:r>
      <w:rPr>
        <w:sz w:val="17"/>
      </w:rPr>
      <w:fldChar w:fldCharType="end"/>
    </w:r>
    <w:r>
      <w:rPr>
        <w:sz w:val="17"/>
      </w:rPr>
      <w:t>/</w:t>
    </w:r>
    <w:r>
      <w:rPr>
        <w:sz w:val="17"/>
      </w:rPr>
      <w:fldChar w:fldCharType="begin"/>
    </w:r>
    <w:r>
      <w:rPr>
        <w:sz w:val="17"/>
      </w:rPr>
      <w:instrText xml:space="preserve"> DOCPROPERTY "Last Modified"</w:instrText>
    </w:r>
    <w:r>
      <w:rPr>
        <w:sz w:val="17"/>
      </w:rPr>
      <w:fldChar w:fldCharType="separate"/>
    </w:r>
    <w:r>
      <w:rPr>
        <w:sz w:val="17"/>
      </w:rPr>
      <w:t xml:space="preserve"> </w:t>
    </w:r>
    <w:r>
      <w:rPr>
        <w:sz w:val="17"/>
      </w:rPr>
      <w:fldChar w:fldCharType="end"/>
    </w:r>
    <w:r>
      <w:rPr>
        <w:sz w:val="17"/>
      </w:rPr>
      <w:tab/>
    </w:r>
  </w:p>
  <w:p>
    <w:pPr>
      <w:pStyle w:val="Normal"/>
      <w:pBdr>
        <w:top w:val="single" w:sz="4" w:space="1" w:color="000000"/>
      </w:pBdr>
      <w:jc w:val="center"/>
      <w:rPr/>
    </w:pPr>
    <w:r>
      <w:rPr/>
      <w:t xml:space="preserve">- </w:t>
    </w:r>
    <w:r>
      <w:rPr/>
      <w:fldChar w:fldCharType="begin"/>
    </w:r>
    <w:r>
      <w:rPr/>
      <w:instrText xml:space="preserve"> PAGE </w:instrText>
    </w:r>
    <w:r>
      <w:rPr/>
      <w:fldChar w:fldCharType="separate"/>
    </w:r>
    <w:r>
      <w:rPr/>
      <w:t>15</w:t>
    </w:r>
    <w:r>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856"/>
        </w:tabs>
        <w:ind w:start="3856" w:hanging="567"/>
      </w:pPr>
      <w:rPr>
        <w:rFonts w:ascii="Symbol" w:hAnsi="Symbol" w:cs="Symbol" w:hint="default"/>
      </w:rPr>
    </w:lvl>
  </w:abstractNum>
  <w:abstractNum w:abstractNumId="3">
    <w:lvl w:ilvl="0">
      <w:start w:val="1"/>
      <w:numFmt w:val="lowerLetter"/>
      <w:lvlText w:val="(%1)"/>
      <w:lvlJc w:val="start"/>
      <w:pPr>
        <w:tabs>
          <w:tab w:val="num" w:pos="2608"/>
        </w:tabs>
        <w:ind w:start="2608" w:hanging="567"/>
      </w:pPr>
    </w:lvl>
  </w:abstractNum>
  <w:abstractNum w:abstractNumId="4">
    <w:lvl w:ilvl="0">
      <w:start w:val="1"/>
      <w:numFmt w:val="lowerRoman"/>
      <w:lvlText w:val="(%1)"/>
      <w:lvlJc w:val="start"/>
      <w:pPr>
        <w:tabs>
          <w:tab w:val="num" w:pos="720"/>
        </w:tabs>
        <w:ind w:start="567" w:hanging="567"/>
      </w:pPr>
      <w:rPr>
        <w:sz w:val="20"/>
        <w:i w:val="false"/>
        <w:b w:val="false"/>
        <w:rFonts w:ascii="Arial" w:hAnsi="Arial" w:cs="Arial"/>
      </w:rPr>
    </w:lvl>
  </w:abstractNum>
  <w:abstractNum w:abstractNumId="5">
    <w:lvl w:ilvl="0">
      <w:start w:val="1"/>
      <w:numFmt w:val="lowerLetter"/>
      <w:lvlText w:val="(%1)"/>
      <w:lvlJc w:val="start"/>
      <w:pPr>
        <w:tabs>
          <w:tab w:val="num" w:pos="1361"/>
        </w:tabs>
        <w:ind w:start="1361" w:hanging="681"/>
      </w:pPr>
      <w:rPr>
        <w:sz w:val="20"/>
        <w:i w:val="false"/>
        <w:b w:val="false"/>
        <w:rFonts w:ascii="Arial" w:hAnsi="Arial" w:cs="Arial"/>
      </w:rPr>
    </w:lvl>
  </w:abstractNum>
  <w:abstractNum w:abstractNumId="6">
    <w:lvl w:ilvl="0">
      <w:start w:val="1"/>
      <w:numFmt w:val="bullet"/>
      <w:lvlText w:val=""/>
      <w:lvlJc w:val="start"/>
      <w:pPr>
        <w:tabs>
          <w:tab w:val="num" w:pos="680"/>
        </w:tabs>
        <w:ind w:start="680" w:hanging="680"/>
      </w:pPr>
      <w:rPr>
        <w:rFonts w:ascii="Symbol" w:hAnsi="Symbol" w:cs="Symbol" w:hint="default"/>
      </w:rPr>
    </w:lvl>
  </w:abstractNum>
  <w:abstractNum w:abstractNumId="7">
    <w:lvl w:ilvl="0">
      <w:start w:val="1"/>
      <w:numFmt w:val="lowerLetter"/>
      <w:lvlText w:val="(%1)"/>
      <w:lvlJc w:val="start"/>
      <w:pPr>
        <w:tabs>
          <w:tab w:val="num" w:pos="680"/>
        </w:tabs>
        <w:ind w:start="680" w:hanging="680"/>
      </w:pPr>
      <w:rPr>
        <w:sz w:val="20"/>
        <w:i w:val="false"/>
        <w:b w:val="false"/>
        <w:rFonts w:ascii="Arial" w:hAnsi="Arial" w:cs="Arial"/>
      </w:rPr>
    </w:lvl>
  </w:abstractNum>
  <w:abstractNum w:abstractNumId="8">
    <w:lvl w:ilvl="0">
      <w:start w:val="1"/>
      <w:numFmt w:val="decimal"/>
      <w:lvlText w:val="%1"/>
      <w:lvlJc w:val="start"/>
      <w:pPr>
        <w:tabs>
          <w:tab w:val="num" w:pos="567"/>
        </w:tabs>
        <w:ind w:start="567" w:hanging="567"/>
      </w:pPr>
      <w:rPr>
        <w:sz w:val="20"/>
        <w:i w:val="false"/>
        <w:b/>
        <w:rFonts w:ascii="Arial" w:hAnsi="Arial" w:cs="Arial"/>
      </w:rPr>
    </w:lvl>
    <w:lvl w:ilvl="1">
      <w:start w:val="1"/>
      <w:numFmt w:val="decimal"/>
      <w:lvlText w:val="%1.%2"/>
      <w:lvlJc w:val="start"/>
      <w:pPr>
        <w:tabs>
          <w:tab w:val="num" w:pos="567"/>
        </w:tabs>
        <w:ind w:start="567" w:hanging="567"/>
      </w:pPr>
      <w:rPr>
        <w:sz w:val="20"/>
        <w:i w:val="false"/>
        <w:b/>
        <w:rFonts w:ascii="Arial" w:hAnsi="Arial" w:cs="Arial"/>
      </w:rPr>
    </w:lvl>
    <w:lvl w:ilvl="2">
      <w:start w:val="1"/>
      <w:numFmt w:val="decimal"/>
      <w:lvlText w:val="%1.%2.%3"/>
      <w:lvlJc w:val="start"/>
      <w:pPr>
        <w:tabs>
          <w:tab w:val="num" w:pos="567"/>
        </w:tabs>
        <w:ind w:start="567" w:hanging="567"/>
      </w:pPr>
      <w:rPr>
        <w:sz w:val="17"/>
        <w:i w:val="false"/>
        <w:b/>
        <w:rFonts w:ascii="Arial" w:hAnsi="Arial" w:cs="Arial"/>
      </w:rPr>
    </w:lvl>
    <w:lvl w:ilvl="3">
      <w:start w:val="1"/>
      <w:numFmt w:val="lowerRoman"/>
      <w:lvlText w:val="(%4)"/>
      <w:lvlJc w:val="start"/>
      <w:pPr>
        <w:tabs>
          <w:tab w:val="num" w:pos="720"/>
        </w:tabs>
        <w:ind w:start="567" w:hanging="567"/>
      </w:pPr>
      <w:rPr>
        <w:sz w:val="20"/>
        <w:i w:val="false"/>
        <w:b w:val="false"/>
        <w:rFonts w:ascii="Arial" w:hAnsi="Arial" w:cs="Arial"/>
      </w:rPr>
    </w:lvl>
    <w:lvl w:ilvl="4">
      <w:start w:val="1"/>
      <w:numFmt w:val="lowerLetter"/>
      <w:lvlText w:val="(%5)"/>
      <w:lvlJc w:val="start"/>
      <w:pPr>
        <w:tabs>
          <w:tab w:val="num" w:pos="567"/>
        </w:tabs>
        <w:ind w:start="567" w:hanging="567"/>
      </w:pPr>
      <w:rPr>
        <w:sz w:val="20"/>
        <w:i w:val="false"/>
        <w:b w:val="false"/>
        <w:rFonts w:ascii="Arial" w:hAnsi="Arial" w:cs="Arial"/>
      </w:rPr>
    </w:lvl>
    <w:lvl w:ilvl="5">
      <w:start w:val="1"/>
      <w:numFmt w:val="upperRoman"/>
      <w:lvlText w:val="(%6)"/>
      <w:lvlJc w:val="start"/>
      <w:pPr>
        <w:tabs>
          <w:tab w:val="num" w:pos="720"/>
        </w:tabs>
        <w:ind w:start="567" w:hanging="567"/>
      </w:pPr>
      <w:rPr>
        <w:sz w:val="20"/>
        <w:i w:val="false"/>
        <w:b w:val="false"/>
        <w:rFonts w:ascii="Arial" w:hAnsi="Arial" w:cs="Arial"/>
      </w:rPr>
    </w:lvl>
    <w:lvl w:ilvl="6">
      <w:start w:val="1"/>
      <w:numFmt w:val="none"/>
      <w:suff w:val="nothing"/>
      <w:lvlText w:val=""/>
      <w:lvlJc w:val="start"/>
      <w:pPr>
        <w:tabs>
          <w:tab w:val="num" w:pos="567"/>
        </w:tabs>
        <w:ind w:start="567" w:hanging="567"/>
      </w:pPr>
    </w:lvl>
    <w:lvl w:ilvl="7">
      <w:start w:val="1"/>
      <w:numFmt w:val="none"/>
      <w:suff w:val="nothing"/>
      <w:lvlText w:val=""/>
      <w:lvlJc w:val="start"/>
      <w:pPr>
        <w:tabs>
          <w:tab w:val="num" w:pos="567"/>
        </w:tabs>
        <w:ind w:start="567" w:hanging="567"/>
      </w:pPr>
    </w:lvl>
    <w:lvl w:ilvl="8">
      <w:start w:val="1"/>
      <w:numFmt w:val="none"/>
      <w:suff w:val="nothing"/>
      <w:lvlText w:val=""/>
      <w:lvlJc w:val="start"/>
      <w:pPr>
        <w:tabs>
          <w:tab w:val="num" w:pos="567"/>
        </w:tabs>
        <w:ind w:start="567" w:hanging="567"/>
      </w:pPr>
    </w:lvl>
  </w:abstractNum>
  <w:abstractNum w:abstractNumId="9">
    <w:lvl w:ilvl="0">
      <w:start w:val="1"/>
      <w:numFmt w:val="bullet"/>
      <w:lvlText w:val=""/>
      <w:lvlJc w:val="start"/>
      <w:pPr>
        <w:tabs>
          <w:tab w:val="num" w:pos="2041"/>
        </w:tabs>
        <w:ind w:start="2041" w:hanging="680"/>
      </w:pPr>
      <w:rPr>
        <w:rFonts w:ascii="Symbol" w:hAnsi="Symbol" w:cs="Symbol" w:hint="default"/>
      </w:rPr>
    </w:lvl>
  </w:abstractNum>
  <w:abstractNum w:abstractNumId="10">
    <w:lvl w:ilvl="0">
      <w:start w:val="1"/>
      <w:numFmt w:val="lowerLetter"/>
      <w:lvlText w:val="(%1)"/>
      <w:lvlJc w:val="start"/>
      <w:pPr>
        <w:tabs>
          <w:tab w:val="num" w:pos="567"/>
        </w:tabs>
        <w:ind w:start="567" w:hanging="567"/>
      </w:pPr>
      <w:rPr>
        <w:sz w:val="20"/>
        <w:i w:val="false"/>
        <w:b w:val="false"/>
        <w:rFonts w:ascii="Arial" w:hAnsi="Arial" w:cs="Arial"/>
      </w:rPr>
    </w:lvl>
  </w:abstractNum>
  <w:abstractNum w:abstractNumId="11">
    <w:lvl w:ilvl="0">
      <w:start w:val="1"/>
      <w:numFmt w:val="lowerLetter"/>
      <w:lvlText w:val="(%1)"/>
      <w:lvlJc w:val="start"/>
      <w:pPr>
        <w:tabs>
          <w:tab w:val="num" w:pos="3289"/>
        </w:tabs>
        <w:ind w:start="3289" w:hanging="681"/>
      </w:pPr>
      <w:rPr>
        <w:sz w:val="20"/>
        <w:i w:val="false"/>
        <w:b w:val="false"/>
        <w:rFonts w:ascii="Arial" w:hAnsi="Arial" w:cs="Arial"/>
      </w:rPr>
    </w:lvl>
  </w:abstractNum>
  <w:abstractNum w:abstractNumId="12">
    <w:lvl w:ilvl="0">
      <w:start w:val="1"/>
      <w:numFmt w:val="bullet"/>
      <w:lvlText w:val=""/>
      <w:lvlJc w:val="start"/>
      <w:pPr>
        <w:tabs>
          <w:tab w:val="num" w:pos="2608"/>
        </w:tabs>
        <w:ind w:start="2608" w:hanging="567"/>
      </w:pPr>
      <w:rPr>
        <w:rFonts w:ascii="Symbol" w:hAnsi="Symbol" w:cs="Symbol" w:hint="default"/>
      </w:rPr>
    </w:lvl>
  </w:abstractNum>
  <w:abstractNum w:abstractNumId="13">
    <w:lvl w:ilvl="0">
      <w:start w:val="1"/>
      <w:numFmt w:val="bullet"/>
      <w:lvlText w:val=""/>
      <w:lvlJc w:val="start"/>
      <w:pPr>
        <w:tabs>
          <w:tab w:val="num" w:pos="3289"/>
        </w:tabs>
        <w:ind w:start="3289" w:hanging="681"/>
      </w:pPr>
      <w:rPr>
        <w:rFonts w:ascii="Symbol" w:hAnsi="Symbol" w:cs="Symbol" w:hint="default"/>
      </w:rPr>
    </w:lvl>
  </w:abstractNum>
  <w:abstractNum w:abstractNumId="14">
    <w:lvl w:ilvl="0">
      <w:start w:val="1"/>
      <w:numFmt w:val="lowerLetter"/>
      <w:lvlText w:val="(%1)"/>
      <w:lvlJc w:val="start"/>
      <w:pPr>
        <w:tabs>
          <w:tab w:val="num" w:pos="2041"/>
        </w:tabs>
        <w:ind w:start="2041" w:hanging="680"/>
      </w:pPr>
      <w:rPr>
        <w:sz w:val="20"/>
        <w:i w:val="false"/>
        <w:b w:val="false"/>
        <w:rFonts w:ascii="Arial" w:hAnsi="Arial" w:cs="Arial"/>
      </w:rPr>
    </w:lvl>
  </w:abstractNum>
  <w:abstractNum w:abstractNumId="15">
    <w:lvl w:ilvl="0">
      <w:start w:val="1"/>
      <w:numFmt w:val="lowerRoman"/>
      <w:lvlText w:val="(%1)"/>
      <w:lvlJc w:val="start"/>
      <w:pPr>
        <w:tabs>
          <w:tab w:val="num" w:pos="3442"/>
        </w:tabs>
        <w:ind w:start="3289" w:hanging="567"/>
      </w:pPr>
      <w:rPr>
        <w:sz w:val="20"/>
        <w:i w:val="false"/>
        <w:b w:val="false"/>
        <w:rFonts w:ascii="Arial" w:hAnsi="Arial" w:cs="Arial"/>
      </w:rPr>
    </w:lvl>
  </w:abstractNum>
  <w:abstractNum w:abstractNumId="16">
    <w:lvl w:ilvl="0">
      <w:start w:val="1"/>
      <w:numFmt w:val="decimal"/>
      <w:lvlText w:val="(%1)"/>
      <w:lvlJc w:val="start"/>
      <w:pPr>
        <w:tabs>
          <w:tab w:val="num" w:pos="680"/>
        </w:tabs>
        <w:ind w:start="680" w:hanging="680"/>
      </w:pPr>
      <w:rPr>
        <w:sz w:val="20"/>
        <w:i w:val="false"/>
        <w:b/>
        <w:rFonts w:ascii="Arial" w:hAnsi="Arial" w:cs="Arial"/>
      </w:rPr>
    </w:lvl>
  </w:abstractNum>
  <w:abstractNum w:abstractNumId="17">
    <w:lvl w:ilvl="0">
      <w:start w:val="1"/>
      <w:numFmt w:val="lowerRoman"/>
      <w:lvlText w:val="(%1)"/>
      <w:lvlJc w:val="start"/>
      <w:pPr>
        <w:tabs>
          <w:tab w:val="num" w:pos="2041"/>
        </w:tabs>
        <w:ind w:start="2041" w:hanging="680"/>
      </w:pPr>
      <w:rPr>
        <w:sz w:val="20"/>
        <w:i w:val="false"/>
        <w:b w:val="false"/>
        <w:rFonts w:ascii="Arial" w:hAnsi="Arial" w:cs="Arial"/>
      </w:rPr>
    </w:lvl>
  </w:abstractNum>
  <w:abstractNum w:abstractNumId="18">
    <w:lvl w:ilvl="0">
      <w:start w:val="1"/>
      <w:numFmt w:val="bullet"/>
      <w:lvlText w:val=""/>
      <w:lvlJc w:val="start"/>
      <w:pPr>
        <w:tabs>
          <w:tab w:val="num" w:pos="567"/>
        </w:tabs>
        <w:ind w:start="567" w:hanging="567"/>
      </w:pPr>
      <w:rPr>
        <w:rFonts w:ascii="Symbol" w:hAnsi="Symbol" w:cs="Symbol" w:hint="default"/>
        <w:sz w:val="20"/>
        <w:i w:val="false"/>
        <w:b w:val="false"/>
      </w:rPr>
    </w:lvl>
  </w:abstractNum>
  <w:abstractNum w:abstractNumId="19">
    <w:lvl w:ilvl="0">
      <w:start w:val="1"/>
      <w:numFmt w:val="decimal"/>
      <w:lvlText w:val="%1"/>
      <w:lvlJc w:val="start"/>
      <w:pPr>
        <w:tabs>
          <w:tab w:val="num" w:pos="680"/>
        </w:tabs>
        <w:ind w:start="680" w:hanging="680"/>
      </w:pPr>
      <w:rPr>
        <w:sz w:val="22"/>
        <w:i w:val="false"/>
        <w:b/>
        <w:rFonts w:ascii="Arial" w:hAnsi="Arial" w:cs="Arial"/>
      </w:rPr>
    </w:lvl>
    <w:lvl w:ilvl="1">
      <w:start w:val="1"/>
      <w:numFmt w:val="decimal"/>
      <w:lvlText w:val="%1.%2"/>
      <w:lvlJc w:val="start"/>
      <w:pPr>
        <w:tabs>
          <w:tab w:val="num" w:pos="680"/>
        </w:tabs>
        <w:ind w:start="680" w:hanging="680"/>
      </w:pPr>
      <w:rPr>
        <w:sz w:val="21"/>
        <w:i w:val="false"/>
        <w:b/>
        <w:rFonts w:ascii="Arial" w:hAnsi="Arial" w:cs="Arial"/>
      </w:rPr>
    </w:lvl>
    <w:lvl w:ilvl="2">
      <w:start w:val="1"/>
      <w:numFmt w:val="decimal"/>
      <w:lvlText w:val="%1.%2.%3"/>
      <w:lvlJc w:val="start"/>
      <w:pPr>
        <w:tabs>
          <w:tab w:val="num" w:pos="1361"/>
        </w:tabs>
        <w:ind w:start="1361" w:hanging="681"/>
      </w:pPr>
      <w:rPr>
        <w:sz w:val="17"/>
        <w:i w:val="false"/>
        <w:b/>
        <w:rFonts w:ascii="Arial" w:hAnsi="Arial" w:cs="Arial"/>
      </w:rPr>
    </w:lvl>
    <w:lvl w:ilvl="3">
      <w:start w:val="1"/>
      <w:numFmt w:val="lowerRoman"/>
      <w:lvlText w:val="(%4)"/>
      <w:lvlJc w:val="start"/>
      <w:pPr>
        <w:tabs>
          <w:tab w:val="num" w:pos="2041"/>
        </w:tabs>
        <w:ind w:start="2041" w:hanging="680"/>
      </w:pPr>
      <w:rPr>
        <w:sz w:val="20"/>
        <w:i w:val="false"/>
        <w:b w:val="false"/>
        <w:rFonts w:ascii="Arial" w:hAnsi="Arial" w:cs="Arial"/>
      </w:rPr>
    </w:lvl>
    <w:lvl w:ilvl="4">
      <w:start w:val="1"/>
      <w:numFmt w:val="lowerLetter"/>
      <w:lvlText w:val="(%5)"/>
      <w:lvlJc w:val="start"/>
      <w:pPr>
        <w:tabs>
          <w:tab w:val="num" w:pos="2608"/>
        </w:tabs>
        <w:ind w:start="2608" w:hanging="567"/>
      </w:pPr>
      <w:rPr>
        <w:sz w:val="20"/>
        <w:i w:val="false"/>
        <w:b w:val="false"/>
        <w:rFonts w:ascii="Arial" w:hAnsi="Arial" w:cs="Arial"/>
      </w:rPr>
    </w:lvl>
    <w:lvl w:ilvl="5">
      <w:start w:val="1"/>
      <w:numFmt w:val="upperRoman"/>
      <w:lvlText w:val="(%6)"/>
      <w:lvlJc w:val="start"/>
      <w:pPr>
        <w:tabs>
          <w:tab w:val="num" w:pos="3289"/>
        </w:tabs>
        <w:ind w:start="3289" w:hanging="681"/>
      </w:pPr>
      <w:rPr>
        <w:sz w:val="20"/>
        <w:i w:val="false"/>
        <w:b w:val="false"/>
        <w:rFonts w:ascii="Arial" w:hAnsi="Arial" w:cs="Arial"/>
      </w:r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0">
    <w:lvl w:ilvl="0">
      <w:start w:val="1"/>
      <w:numFmt w:val="lowerRoman"/>
      <w:lvlText w:val="(%1)"/>
      <w:lvlJc w:val="start"/>
      <w:pPr>
        <w:tabs>
          <w:tab w:val="num" w:pos="680"/>
        </w:tabs>
        <w:ind w:start="680" w:hanging="680"/>
      </w:pPr>
      <w:rPr>
        <w:sz w:val="20"/>
        <w:i w:val="false"/>
        <w:b w:val="false"/>
        <w:rFonts w:ascii="Arial" w:hAnsi="Arial" w:cs="Arial"/>
      </w:rPr>
    </w:lvl>
  </w:abstractNum>
  <w:abstractNum w:abstractNumId="21">
    <w:lvl w:ilvl="0">
      <w:start w:val="1"/>
      <w:numFmt w:val="lowerRoman"/>
      <w:lvlText w:val="(%1)"/>
      <w:lvlJc w:val="start"/>
      <w:pPr>
        <w:tabs>
          <w:tab w:val="num" w:pos="2761"/>
        </w:tabs>
        <w:ind w:start="2608" w:hanging="567"/>
      </w:pPr>
      <w:rPr>
        <w:sz w:val="20"/>
        <w:i w:val="false"/>
        <w:b w:val="false"/>
        <w:rFonts w:ascii="Arial" w:hAnsi="Arial" w:cs="Arial"/>
      </w:rPr>
    </w:lvl>
  </w:abstractNum>
  <w:abstractNum w:abstractNumId="22">
    <w:lvl w:ilvl="0">
      <w:start w:val="1"/>
      <w:numFmt w:val="decimal"/>
      <w:lvlText w:val="%1"/>
      <w:lvlJc w:val="start"/>
      <w:pPr>
        <w:tabs>
          <w:tab w:val="num" w:pos="680"/>
        </w:tabs>
        <w:ind w:start="680" w:hanging="680"/>
      </w:pPr>
      <w:rPr>
        <w:sz w:val="22"/>
        <w:i w:val="false"/>
        <w:b/>
        <w:rFonts w:ascii="Arial" w:hAnsi="Arial" w:cs="Arial"/>
      </w:rPr>
    </w:lvl>
    <w:lvl w:ilvl="1">
      <w:start w:val="1"/>
      <w:numFmt w:val="lowerLetter"/>
      <w:lvlText w:val="(%2)"/>
      <w:lvlJc w:val="start"/>
      <w:pPr>
        <w:tabs>
          <w:tab w:val="num" w:pos="1361"/>
        </w:tabs>
        <w:ind w:start="1361" w:hanging="681"/>
      </w:pPr>
      <w:rPr>
        <w:sz w:val="20"/>
        <w:i w:val="false"/>
        <w:b w:val="false"/>
        <w:rFonts w:ascii="Arial" w:hAnsi="Arial" w:cs="Arial"/>
      </w:rPr>
    </w:lvl>
    <w:lvl w:ilvl="2">
      <w:start w:val="1"/>
      <w:numFmt w:val="lowerRoman"/>
      <w:lvlText w:val="(%3)"/>
      <w:lvlJc w:val="start"/>
      <w:pPr>
        <w:tabs>
          <w:tab w:val="num" w:pos="2041"/>
        </w:tabs>
        <w:ind w:start="2041" w:hanging="680"/>
      </w:pPr>
      <w:rPr>
        <w:sz w:val="20"/>
        <w:i w:val="false"/>
        <w:b w:val="false"/>
        <w:rFonts w:ascii="Arial" w:hAnsi="Arial" w:cs="Arial"/>
      </w:rPr>
    </w:lvl>
    <w:lvl w:ilvl="3">
      <w:start w:val="1"/>
      <w:numFmt w:val="upperLetter"/>
      <w:lvlText w:val="(%4)"/>
      <w:lvlJc w:val="start"/>
      <w:pPr>
        <w:tabs>
          <w:tab w:val="num" w:pos="2608"/>
        </w:tabs>
        <w:ind w:start="2608" w:hanging="567"/>
      </w:pPr>
      <w:rPr>
        <w:sz w:val="20"/>
        <w:i w:val="false"/>
        <w:b w:val="false"/>
        <w:rFonts w:ascii="Arial" w:hAnsi="Arial" w:cs="Arial"/>
      </w:rPr>
    </w:lvl>
    <w:lvl w:ilvl="4">
      <w:start w:val="1"/>
      <w:numFmt w:val="none"/>
      <w:suff w:val="nothing"/>
      <w:lvlText w:val=""/>
      <w:lvlJc w:val="start"/>
      <w:pPr>
        <w:tabs>
          <w:tab w:val="num" w:pos="2608"/>
        </w:tabs>
        <w:ind w:start="2608" w:hanging="567"/>
      </w:pPr>
    </w:lvl>
    <w:lvl w:ilvl="5">
      <w:start w:val="1"/>
      <w:numFmt w:val="none"/>
      <w:suff w:val="nothing"/>
      <w:lvlText w:val=""/>
      <w:lvlJc w:val="start"/>
      <w:pPr>
        <w:tabs>
          <w:tab w:val="num" w:pos="3289"/>
        </w:tabs>
        <w:ind w:start="3289" w:hanging="681"/>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23">
    <w:lvl w:ilvl="0">
      <w:start w:val="1"/>
      <w:numFmt w:val="upperLetter"/>
      <w:lvlText w:val="(%1)"/>
      <w:lvlJc w:val="start"/>
      <w:pPr>
        <w:tabs>
          <w:tab w:val="num" w:pos="680"/>
        </w:tabs>
        <w:ind w:start="680" w:hanging="680"/>
      </w:pPr>
      <w:rPr>
        <w:sz w:val="20"/>
        <w:i w:val="false"/>
        <w:b w:val="false"/>
        <w:rFonts w:ascii="Arial" w:hAnsi="Arial" w:cs="Arial"/>
      </w:rPr>
    </w:lvl>
  </w:abstractNum>
  <w:abstractNum w:abstractNumId="24">
    <w:lvl w:ilvl="0">
      <w:start w:val="1"/>
      <w:numFmt w:val="lowerRoman"/>
      <w:lvlText w:val="(%1)"/>
      <w:lvlJc w:val="start"/>
      <w:pPr>
        <w:tabs>
          <w:tab w:val="num" w:pos="1361"/>
        </w:tabs>
        <w:ind w:start="1361" w:hanging="681"/>
      </w:pPr>
      <w:rPr>
        <w:sz w:val="20"/>
        <w:i w:val="false"/>
        <w:b w:val="false"/>
        <w:rFonts w:ascii="Arial" w:hAnsi="Arial" w:cs="Arial"/>
      </w:rPr>
    </w:lvl>
  </w:abstractNum>
  <w:abstractNum w:abstractNumId="25">
    <w:lvl w:ilvl="0">
      <w:start w:val="1"/>
      <w:numFmt w:val="lowerRoman"/>
      <w:lvlText w:val="(%1)"/>
      <w:lvlJc w:val="start"/>
      <w:pPr>
        <w:tabs>
          <w:tab w:val="num" w:pos="3969"/>
        </w:tabs>
        <w:ind w:start="3969" w:hanging="680"/>
      </w:pPr>
      <w:rPr>
        <w:sz w:val="20"/>
        <w:i w:val="false"/>
        <w:b w:val="false"/>
        <w:rFonts w:ascii="Arial" w:hAnsi="Arial" w:cs="Arial"/>
      </w:rPr>
    </w:lvl>
  </w:abstractNum>
  <w:abstractNum w:abstractNumId="26">
    <w:lvl w:ilvl="0">
      <w:start w:val="1"/>
      <w:numFmt w:val="bullet"/>
      <w:lvlText w:val=""/>
      <w:lvlJc w:val="start"/>
      <w:pPr>
        <w:tabs>
          <w:tab w:val="num" w:pos="1361"/>
        </w:tabs>
        <w:ind w:start="1361" w:hanging="681"/>
      </w:pPr>
      <w:rPr>
        <w:rFonts w:ascii="Symbol" w:hAnsi="Symbol" w:cs="Symbol" w:hint="default"/>
      </w:rPr>
    </w:lvl>
  </w:abstractNum>
  <w:abstractNum w:abstractNumId="27">
    <w:lvl w:ilvl="0">
      <w:start w:val="1"/>
      <w:numFmt w:val="decimal"/>
      <w:lvlText w:val="%1"/>
      <w:lvlJc w:val="start"/>
      <w:pPr>
        <w:tabs>
          <w:tab w:val="num" w:pos="680"/>
        </w:tabs>
        <w:ind w:start="680" w:hanging="680"/>
      </w:pPr>
      <w:rPr>
        <w:sz w:val="22"/>
        <w:i w:val="false"/>
        <w:b/>
        <w:rFonts w:ascii="Arial" w:hAnsi="Arial" w:cs="Arial"/>
      </w:rPr>
    </w:lvl>
    <w:lvl w:ilvl="1">
      <w:start w:val="1"/>
      <w:numFmt w:val="decimal"/>
      <w:lvlText w:val="%1.%2"/>
      <w:lvlJc w:val="start"/>
      <w:pPr>
        <w:tabs>
          <w:tab w:val="num" w:pos="680"/>
        </w:tabs>
        <w:ind w:start="680" w:hanging="680"/>
      </w:pPr>
      <w:rPr>
        <w:sz w:val="21"/>
        <w:i w:val="false"/>
        <w:b/>
        <w:rFonts w:ascii="Arial" w:hAnsi="Arial" w:cs="Arial"/>
      </w:rPr>
    </w:lvl>
    <w:lvl w:ilvl="2">
      <w:start w:val="1"/>
      <w:numFmt w:val="decimal"/>
      <w:lvlText w:val="%1.%2.%3"/>
      <w:lvlJc w:val="start"/>
      <w:pPr>
        <w:tabs>
          <w:tab w:val="num" w:pos="1361"/>
        </w:tabs>
        <w:ind w:start="1361" w:hanging="681"/>
      </w:pPr>
      <w:rPr>
        <w:sz w:val="17"/>
        <w:i w:val="false"/>
        <w:b/>
        <w:rFonts w:ascii="Arial" w:hAnsi="Arial" w:cs="Arial"/>
      </w:rPr>
    </w:lvl>
    <w:lvl w:ilvl="3">
      <w:start w:val="1"/>
      <w:numFmt w:val="lowerRoman"/>
      <w:lvlText w:val="(%4)"/>
      <w:lvlJc w:val="start"/>
      <w:pPr>
        <w:tabs>
          <w:tab w:val="num" w:pos="2041"/>
        </w:tabs>
        <w:ind w:start="2041" w:hanging="680"/>
      </w:pPr>
      <w:rPr>
        <w:sz w:val="20"/>
        <w:i w:val="false"/>
        <w:b w:val="false"/>
        <w:rFonts w:ascii="Arial" w:hAnsi="Arial" w:cs="Arial"/>
      </w:rPr>
    </w:lvl>
    <w:lvl w:ilvl="4">
      <w:start w:val="1"/>
      <w:numFmt w:val="lowerLetter"/>
      <w:lvlText w:val="(%5)"/>
      <w:lvlJc w:val="start"/>
      <w:pPr>
        <w:tabs>
          <w:tab w:val="num" w:pos="2608"/>
        </w:tabs>
        <w:ind w:start="2608" w:hanging="567"/>
      </w:pPr>
      <w:rPr>
        <w:sz w:val="20"/>
        <w:i w:val="false"/>
        <w:b w:val="false"/>
        <w:rFonts w:ascii="Arial" w:hAnsi="Arial" w:cs="Arial"/>
      </w:rPr>
    </w:lvl>
    <w:lvl w:ilvl="5">
      <w:start w:val="1"/>
      <w:numFmt w:val="upperRoman"/>
      <w:lvlText w:val="(%6)"/>
      <w:lvlJc w:val="start"/>
      <w:pPr>
        <w:tabs>
          <w:tab w:val="num" w:pos="3289"/>
        </w:tabs>
        <w:ind w:start="3289" w:hanging="681"/>
      </w:pPr>
      <w:rPr>
        <w:sz w:val="20"/>
        <w:i w:val="false"/>
        <w:b w:val="false"/>
        <w:rFonts w:ascii="Arial" w:hAnsi="Arial" w:cs="Arial"/>
      </w:r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abstractNum w:abstractNumId="28">
    <w:lvl w:ilvl="0">
      <w:start w:val="1"/>
      <w:numFmt w:val="lowerLetter"/>
      <w:lvlText w:val="(%1)"/>
      <w:lvlJc w:val="start"/>
      <w:pPr>
        <w:tabs>
          <w:tab w:val="num" w:pos="3969"/>
        </w:tabs>
        <w:ind w:start="3969" w:hanging="680"/>
      </w:pPr>
      <w:rPr>
        <w:sz w:val="20"/>
        <w:i w:val="false"/>
        <w:b w:val="false"/>
        <w:rFonts w:ascii="Arial" w:hAnsi="Arial" w:cs="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5"/>
    <w:lvlOverride w:ilvl="0">
      <w:startOverride w:val="1"/>
    </w:lvlOverride>
  </w:num>
  <w:num w:numId="30">
    <w:abstractNumId w:val="5"/>
    <w:lvlOverride w:ilvl="0">
      <w:startOverride w:val="1"/>
    </w:lvlOverride>
  </w:num>
  <w:num w:numId="31">
    <w:abstractNumId w:val="5"/>
    <w:lvlOverride w:ilvl="0">
      <w:startOverride w:val="1"/>
    </w:lvlOverride>
  </w:num>
  <w:num w:numId="32">
    <w:abstractNumId w:val="5"/>
    <w:lvlOverride w:ilvl="0">
      <w:startOverride w:val="1"/>
    </w:lvlOverride>
  </w:num>
  <w:num w:numId="33">
    <w:abstractNumId w:val="5"/>
    <w:lvlOverride w:ilvl="0">
      <w:startOverride w:val="1"/>
    </w:lvlOverride>
  </w:num>
  <w:num w:numId="34">
    <w:abstractNumId w:val="5"/>
    <w:lvlOverride w:ilvl="0">
      <w:startOverride w:val="1"/>
    </w:lvlOverride>
  </w:num>
</w:numbering>
</file>

<file path=word/settings.xml><?xml version="1.0" encoding="utf-8"?>
<w:settings xmlns:w="http://schemas.openxmlformats.org/wordprocessingml/2006/main">
  <w:zoom w:val="bestFit" w:percent="20"/>
  <w:defaultTabStop w:val="567"/>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pPr>
    <w:rPr>
      <w:rFonts w:ascii="Arial" w:hAnsi="Arial" w:eastAsia="Times New Roman" w:cs="Arial"/>
      <w:color w:val="auto"/>
      <w:kern w:val="2"/>
      <w:sz w:val="20"/>
      <w:szCs w:val="20"/>
      <w:lang w:val="en-GB" w:eastAsia="zh-CN" w:bidi="hi-IN"/>
    </w:rPr>
  </w:style>
  <w:style w:type="paragraph" w:styleId="Heading1">
    <w:name w:val="heading 1"/>
    <w:basedOn w:val="Normal"/>
    <w:next w:val="Normal"/>
    <w:qFormat/>
    <w:pPr>
      <w:numPr>
        <w:ilvl w:val="0"/>
        <w:numId w:val="1"/>
      </w:numPr>
      <w:spacing w:lineRule="auto" w:line="240"/>
      <w:outlineLvl w:val="0"/>
    </w:pPr>
    <w:rPr/>
  </w:style>
  <w:style w:type="paragraph" w:styleId="Heading2">
    <w:name w:val="heading 2"/>
    <w:basedOn w:val="Normal"/>
    <w:next w:val="Normal"/>
    <w:qFormat/>
    <w:pPr>
      <w:numPr>
        <w:ilvl w:val="1"/>
        <w:numId w:val="1"/>
      </w:numPr>
      <w:spacing w:lineRule="auto" w:line="240"/>
      <w:outlineLvl w:val="1"/>
    </w:pPr>
    <w:rPr/>
  </w:style>
  <w:style w:type="paragraph" w:styleId="Heading3">
    <w:name w:val="heading 3"/>
    <w:basedOn w:val="Normal"/>
    <w:next w:val="Normal"/>
    <w:qFormat/>
    <w:pPr>
      <w:numPr>
        <w:ilvl w:val="2"/>
        <w:numId w:val="1"/>
      </w:numPr>
      <w:spacing w:lineRule="auto" w:line="240"/>
      <w:outlineLvl w:val="2"/>
    </w:pPr>
    <w:rPr/>
  </w:style>
  <w:style w:type="paragraph" w:styleId="Heading4">
    <w:name w:val="heading 4"/>
    <w:basedOn w:val="Normal"/>
    <w:next w:val="Normal"/>
    <w:qFormat/>
    <w:pPr>
      <w:numPr>
        <w:ilvl w:val="3"/>
        <w:numId w:val="1"/>
      </w:numPr>
      <w:spacing w:lineRule="auto" w:line="240"/>
      <w:outlineLvl w:val="3"/>
    </w:pPr>
    <w:rPr/>
  </w:style>
  <w:style w:type="paragraph" w:styleId="Heading5">
    <w:name w:val="heading 5"/>
    <w:basedOn w:val="Normal"/>
    <w:next w:val="Normal"/>
    <w:qFormat/>
    <w:pPr>
      <w:numPr>
        <w:ilvl w:val="4"/>
        <w:numId w:val="1"/>
      </w:numPr>
      <w:spacing w:lineRule="auto" w:line="240"/>
      <w:outlineLvl w:val="4"/>
    </w:pPr>
    <w:rPr/>
  </w:style>
  <w:style w:type="paragraph" w:styleId="Heading6">
    <w:name w:val="heading 6"/>
    <w:basedOn w:val="Normal"/>
    <w:next w:val="Normal"/>
    <w:qFormat/>
    <w:pPr>
      <w:numPr>
        <w:ilvl w:val="5"/>
        <w:numId w:val="1"/>
      </w:numPr>
      <w:spacing w:lineRule="auto" w:line="240"/>
      <w:outlineLvl w:val="5"/>
    </w:pPr>
    <w:rPr/>
  </w:style>
  <w:style w:type="paragraph" w:styleId="Heading7">
    <w:name w:val="heading 7"/>
    <w:basedOn w:val="Normal"/>
    <w:next w:val="Normal"/>
    <w:qFormat/>
    <w:pPr>
      <w:numPr>
        <w:ilvl w:val="6"/>
        <w:numId w:val="1"/>
      </w:numPr>
      <w:spacing w:lineRule="auto" w:line="240"/>
      <w:outlineLvl w:val="6"/>
    </w:pPr>
    <w:rPr/>
  </w:style>
  <w:style w:type="paragraph" w:styleId="Heading8">
    <w:name w:val="heading 8"/>
    <w:basedOn w:val="Normal"/>
    <w:next w:val="Normal"/>
    <w:qFormat/>
    <w:pPr>
      <w:numPr>
        <w:ilvl w:val="7"/>
        <w:numId w:val="1"/>
      </w:numPr>
      <w:spacing w:lineRule="auto" w:line="240"/>
      <w:outlineLvl w:val="7"/>
    </w:pPr>
    <w:rPr/>
  </w:style>
  <w:style w:type="paragraph" w:styleId="Heading9">
    <w:name w:val="heading 9"/>
    <w:basedOn w:val="Normal"/>
    <w:next w:val="Normal"/>
    <w:qFormat/>
    <w:pPr>
      <w:numPr>
        <w:ilvl w:val="8"/>
        <w:numId w:val="1"/>
      </w:numPr>
      <w:spacing w:lineRule="auto" w:line="240"/>
      <w:outlineLvl w:val="8"/>
    </w:pPr>
    <w:rPr/>
  </w:style>
  <w:style w:type="character" w:styleId="WW8Num1z0">
    <w:name w:val="WW8Num1z0"/>
    <w:qFormat/>
    <w:rPr>
      <w:rFonts w:ascii="Arial" w:hAnsi="Arial" w:cs="Arial"/>
      <w:b/>
      <w:i w:val="false"/>
      <w:sz w:val="22"/>
    </w:rPr>
  </w:style>
  <w:style w:type="character" w:styleId="WW8Num1z1">
    <w:name w:val="WW8Num1z1"/>
    <w:qFormat/>
    <w:rPr>
      <w:rFonts w:ascii="Arial" w:hAnsi="Arial" w:cs="Arial"/>
      <w:b/>
      <w:i w:val="false"/>
      <w:sz w:val="21"/>
    </w:rPr>
  </w:style>
  <w:style w:type="character" w:styleId="WW8Num1z2">
    <w:name w:val="WW8Num1z2"/>
    <w:qFormat/>
    <w:rPr>
      <w:rFonts w:ascii="Arial" w:hAnsi="Arial" w:cs="Arial"/>
      <w:b/>
      <w:i w:val="false"/>
      <w:sz w:val="17"/>
    </w:rPr>
  </w:style>
  <w:style w:type="character" w:styleId="WW8Num1z3">
    <w:name w:val="WW8Num1z3"/>
    <w:qFormat/>
    <w:rPr>
      <w:rFonts w:ascii="Arial" w:hAnsi="Arial" w:cs="Arial"/>
      <w:b w:val="false"/>
      <w:i w:val="false"/>
      <w:sz w:val="20"/>
    </w:rPr>
  </w:style>
  <w:style w:type="character" w:styleId="WW8Num2z0">
    <w:name w:val="WW8Num2z0"/>
    <w:qFormat/>
    <w:rPr>
      <w:rFonts w:ascii="Symbol" w:hAnsi="Symbol" w:cs="Symbol"/>
    </w:rPr>
  </w:style>
  <w:style w:type="character" w:styleId="WW8Num4z0">
    <w:name w:val="WW8Num4z0"/>
    <w:qFormat/>
    <w:rPr>
      <w:b/>
      <w:i w:val="false"/>
    </w:rPr>
  </w:style>
  <w:style w:type="character" w:styleId="WW8Num4z1">
    <w:name w:val="WW8Num4z1"/>
    <w:qFormat/>
    <w:rPr/>
  </w:style>
  <w:style w:type="character" w:styleId="WW8Num4z4">
    <w:name w:val="WW8Num4z4"/>
    <w:qFormat/>
    <w:rPr>
      <w:rFonts w:ascii="Symbol" w:hAnsi="Symbol" w:cs="Symbol"/>
    </w:rPr>
  </w:style>
  <w:style w:type="character" w:styleId="WW8Num4z5">
    <w:name w:val="WW8Num4z5"/>
    <w:qFormat/>
    <w:rPr>
      <w:rFonts w:ascii="Wingdings" w:hAnsi="Wingdings" w:cs="Wingdings"/>
    </w:rPr>
  </w:style>
  <w:style w:type="character" w:styleId="WW8Num5z0">
    <w:name w:val="WW8Num5z0"/>
    <w:qFormat/>
    <w:rPr>
      <w:rFonts w:ascii="Arial" w:hAnsi="Arial" w:cs="Arial"/>
      <w:b w:val="false"/>
      <w:i w:val="false"/>
      <w:sz w:val="20"/>
    </w:rPr>
  </w:style>
  <w:style w:type="character" w:styleId="WW8Num6z0">
    <w:name w:val="WW8Num6z0"/>
    <w:qFormat/>
    <w:rPr>
      <w:rFonts w:ascii="Arial" w:hAnsi="Arial" w:cs="Arial"/>
      <w:b w:val="false"/>
      <w:i w:val="false"/>
      <w:sz w:val="20"/>
    </w:rPr>
  </w:style>
  <w:style w:type="character" w:styleId="WW8Num7z0">
    <w:name w:val="WW8Num7z0"/>
    <w:qFormat/>
    <w:rPr/>
  </w:style>
  <w:style w:type="character" w:styleId="WW8Num8z0">
    <w:name w:val="WW8Num8z0"/>
    <w:qFormat/>
    <w:rPr>
      <w:rFonts w:ascii="Arial" w:hAnsi="Arial" w:cs="Arial"/>
      <w:b/>
      <w:i w:val="false"/>
      <w:sz w:val="20"/>
    </w:rPr>
  </w:style>
  <w:style w:type="character" w:styleId="WW8Num8z2">
    <w:name w:val="WW8Num8z2"/>
    <w:qFormat/>
    <w:rPr>
      <w:rFonts w:ascii="Arial" w:hAnsi="Arial" w:cs="Arial"/>
      <w:b/>
      <w:i w:val="false"/>
      <w:sz w:val="17"/>
    </w:rPr>
  </w:style>
  <w:style w:type="character" w:styleId="WW8Num8z3">
    <w:name w:val="WW8Num8z3"/>
    <w:qFormat/>
    <w:rPr>
      <w:rFonts w:ascii="Arial" w:hAnsi="Arial" w:cs="Arial"/>
      <w:b w:val="false"/>
      <w:i w:val="false"/>
      <w:sz w:val="20"/>
    </w:rPr>
  </w:style>
  <w:style w:type="character" w:styleId="WW8Num9z0">
    <w:name w:val="WW8Num9z0"/>
    <w:qFormat/>
    <w:rPr>
      <w:rFonts w:ascii="Arial" w:hAnsi="Arial" w:cs="Arial"/>
      <w:b w:val="false"/>
      <w:i w:val="false"/>
      <w:sz w:val="20"/>
    </w:rPr>
  </w:style>
  <w:style w:type="character" w:styleId="WW8Num10z0">
    <w:name w:val="WW8Num10z0"/>
    <w:qFormat/>
    <w:rPr>
      <w:rFonts w:ascii="Arial" w:hAnsi="Arial" w:cs="Arial"/>
      <w:b w:val="false"/>
      <w:i w:val="false"/>
      <w:sz w:val="20"/>
    </w:rPr>
  </w:style>
  <w:style w:type="character" w:styleId="WW8Num13z0">
    <w:name w:val="WW8Num13z0"/>
    <w:qFormat/>
    <w:rPr>
      <w:rFonts w:ascii="Symbol" w:hAnsi="Symbol" w:cs="Symbol"/>
    </w:rPr>
  </w:style>
  <w:style w:type="character" w:styleId="WW8Num16z0">
    <w:name w:val="WW8Num16z0"/>
    <w:qFormat/>
    <w:rPr/>
  </w:style>
  <w:style w:type="character" w:styleId="WW8Num17z0">
    <w:name w:val="WW8Num17z0"/>
    <w:qFormat/>
    <w:rPr>
      <w:rFonts w:ascii="Arial" w:hAnsi="Arial" w:cs="Arial"/>
      <w:b w:val="false"/>
      <w:i w:val="false"/>
      <w:sz w:val="20"/>
    </w:rPr>
  </w:style>
  <w:style w:type="character" w:styleId="WW8Num18z0">
    <w:name w:val="WW8Num18z0"/>
    <w:qFormat/>
    <w:rPr>
      <w:rFonts w:ascii="Arial" w:hAnsi="Arial" w:cs="Arial"/>
      <w:b/>
      <w:i w:val="false"/>
      <w:sz w:val="20"/>
    </w:rPr>
  </w:style>
  <w:style w:type="character" w:styleId="WW8Num18z2">
    <w:name w:val="WW8Num18z2"/>
    <w:qFormat/>
    <w:rPr>
      <w:rFonts w:ascii="Arial" w:hAnsi="Arial" w:cs="Arial"/>
      <w:b/>
      <w:i w:val="false"/>
      <w:sz w:val="17"/>
    </w:rPr>
  </w:style>
  <w:style w:type="character" w:styleId="WW8Num18z3">
    <w:name w:val="WW8Num18z3"/>
    <w:qFormat/>
    <w:rPr>
      <w:rFonts w:ascii="Arial" w:hAnsi="Arial" w:cs="Arial"/>
      <w:b w:val="false"/>
      <w:i w:val="false"/>
      <w:sz w:val="20"/>
    </w:rPr>
  </w:style>
  <w:style w:type="character" w:styleId="WW8Num19z0">
    <w:name w:val="WW8Num19z0"/>
    <w:qFormat/>
    <w:rPr>
      <w:rFonts w:ascii="Arial" w:hAnsi="Arial" w:cs="Arial"/>
      <w:b w:val="false"/>
      <w:i w:val="false"/>
      <w:sz w:val="20"/>
    </w:rPr>
  </w:style>
  <w:style w:type="character" w:styleId="WW8Num20z0">
    <w:name w:val="WW8Num20z0"/>
    <w:qFormat/>
    <w:rPr>
      <w:rFonts w:ascii="Arial" w:hAnsi="Arial" w:cs="Arial"/>
      <w:b/>
      <w:i w:val="false"/>
      <w:sz w:val="21"/>
    </w:rPr>
  </w:style>
  <w:style w:type="character" w:styleId="WW8Num20z1">
    <w:name w:val="WW8Num20z1"/>
    <w:qFormat/>
    <w:rPr>
      <w:rFonts w:ascii="Arial" w:hAnsi="Arial" w:cs="Arial"/>
      <w:b/>
      <w:i w:val="false"/>
      <w:sz w:val="20"/>
    </w:rPr>
  </w:style>
  <w:style w:type="character" w:styleId="WW8Num20z2">
    <w:name w:val="WW8Num20z2"/>
    <w:qFormat/>
    <w:rPr>
      <w:b/>
      <w:i w:val="false"/>
      <w:sz w:val="17"/>
    </w:rPr>
  </w:style>
  <w:style w:type="character" w:styleId="WW8Num21z0">
    <w:name w:val="WW8Num21z0"/>
    <w:qFormat/>
    <w:rPr>
      <w:rFonts w:ascii="Arial" w:hAnsi="Arial" w:cs="Arial"/>
      <w:b/>
      <w:i w:val="false"/>
      <w:sz w:val="22"/>
    </w:rPr>
  </w:style>
  <w:style w:type="character" w:styleId="WW8Num21z1">
    <w:name w:val="WW8Num21z1"/>
    <w:qFormat/>
    <w:rPr>
      <w:rFonts w:ascii="Arial" w:hAnsi="Arial" w:cs="Arial"/>
      <w:b/>
      <w:i w:val="false"/>
      <w:sz w:val="19"/>
    </w:rPr>
  </w:style>
  <w:style w:type="character" w:styleId="WW8Num21z2">
    <w:name w:val="WW8Num21z2"/>
    <w:qFormat/>
    <w:rPr>
      <w:rFonts w:ascii="Arial" w:hAnsi="Arial" w:cs="Arial"/>
      <w:b/>
      <w:i w:val="false"/>
      <w:sz w:val="18"/>
    </w:rPr>
  </w:style>
  <w:style w:type="character" w:styleId="WW8Num22z0">
    <w:name w:val="WW8Num22z0"/>
    <w:qFormat/>
    <w:rPr>
      <w:rFonts w:ascii="Arial" w:hAnsi="Arial" w:cs="Arial"/>
      <w:b w:val="false"/>
      <w:i w:val="false"/>
      <w:sz w:val="20"/>
    </w:rPr>
  </w:style>
  <w:style w:type="character" w:styleId="WW8Num24z0">
    <w:name w:val="WW8Num24z0"/>
    <w:qFormat/>
    <w:rPr>
      <w:rFonts w:ascii="Arial" w:hAnsi="Arial" w:cs="Arial"/>
      <w:b w:val="false"/>
      <w:i w:val="false"/>
      <w:sz w:val="20"/>
    </w:rPr>
  </w:style>
  <w:style w:type="character" w:styleId="WW8Num25z0">
    <w:name w:val="WW8Num25z0"/>
    <w:qFormat/>
    <w:rPr>
      <w:rFonts w:ascii="Symbol" w:hAnsi="Symbol" w:cs="Symbol"/>
    </w:rPr>
  </w:style>
  <w:style w:type="character" w:styleId="WW8Num26z0">
    <w:name w:val="WW8Num26z0"/>
    <w:qFormat/>
    <w:rPr>
      <w:rFonts w:ascii="Arial" w:hAnsi="Arial" w:cs="Arial"/>
      <w:b w:val="false"/>
      <w:i w:val="false"/>
      <w:sz w:val="20"/>
    </w:rPr>
  </w:style>
  <w:style w:type="character" w:styleId="WW8Num27z0">
    <w:name w:val="WW8Num27z0"/>
    <w:qFormat/>
    <w:rPr>
      <w:b/>
      <w:i w:val="false"/>
    </w:rPr>
  </w:style>
  <w:style w:type="character" w:styleId="WW8Num28z0">
    <w:name w:val="WW8Num28z0"/>
    <w:qFormat/>
    <w:rPr>
      <w:rFonts w:ascii="Arial" w:hAnsi="Arial" w:cs="Arial"/>
      <w:b w:val="false"/>
      <w:i w:val="false"/>
      <w:sz w:val="20"/>
    </w:rPr>
  </w:style>
  <w:style w:type="character" w:styleId="WW8Num29z0">
    <w:name w:val="WW8Num29z0"/>
    <w:qFormat/>
    <w:rPr>
      <w:rFonts w:ascii="Symbol" w:hAnsi="Symbol" w:cs="Symbol"/>
    </w:rPr>
  </w:style>
  <w:style w:type="character" w:styleId="WW8Num30z0">
    <w:name w:val="WW8Num30z0"/>
    <w:qFormat/>
    <w:rPr>
      <w:rFonts w:ascii="Arial" w:hAnsi="Arial" w:cs="Arial"/>
      <w:b w:val="false"/>
      <w:i w:val="false"/>
      <w:sz w:val="20"/>
    </w:rPr>
  </w:style>
  <w:style w:type="character" w:styleId="WW8Num31z0">
    <w:name w:val="WW8Num31z0"/>
    <w:qFormat/>
    <w:rPr>
      <w:rFonts w:ascii="Arial" w:hAnsi="Arial" w:cs="Arial"/>
      <w:b w:val="false"/>
      <w:i w:val="false"/>
      <w:sz w:val="20"/>
    </w:rPr>
  </w:style>
  <w:style w:type="character" w:styleId="WW8Num32z0">
    <w:name w:val="WW8Num32z0"/>
    <w:qFormat/>
    <w:rPr>
      <w:b/>
      <w:i w:val="false"/>
      <w:sz w:val="20"/>
    </w:rPr>
  </w:style>
  <w:style w:type="character" w:styleId="WW8Num33z0">
    <w:name w:val="WW8Num33z0"/>
    <w:qFormat/>
    <w:rPr>
      <w:rFonts w:ascii="Arial" w:hAnsi="Arial" w:cs="Arial"/>
      <w:b w:val="false"/>
      <w:i w:val="false"/>
      <w:sz w:val="20"/>
    </w:rPr>
  </w:style>
  <w:style w:type="character" w:styleId="WW8Num34z0">
    <w:name w:val="WW8Num34z0"/>
    <w:qFormat/>
    <w:rPr>
      <w:rFonts w:ascii="Arial" w:hAnsi="Arial" w:cs="Arial"/>
      <w:b w:val="false"/>
      <w:i w:val="false"/>
      <w:sz w:val="20"/>
    </w:rPr>
  </w:style>
  <w:style w:type="character" w:styleId="WW8Num35z0">
    <w:name w:val="WW8Num35z0"/>
    <w:qFormat/>
    <w:rPr>
      <w:rFonts w:ascii="Symbol" w:hAnsi="Symbol" w:cs="Symbol"/>
    </w:rPr>
  </w:style>
  <w:style w:type="character" w:styleId="WW8Num36z0">
    <w:name w:val="WW8Num36z0"/>
    <w:qFormat/>
    <w:rPr>
      <w:rFonts w:ascii="Arial" w:hAnsi="Arial" w:cs="Arial"/>
      <w:b w:val="false"/>
      <w:i w:val="false"/>
      <w:sz w:val="20"/>
    </w:rPr>
  </w:style>
  <w:style w:type="character" w:styleId="WW8Num37z0">
    <w:name w:val="WW8Num37z0"/>
    <w:qFormat/>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Arial" w:hAnsi="Arial" w:cs="Arial"/>
      <w:b w:val="false"/>
      <w:i w:val="false"/>
      <w:sz w:val="20"/>
    </w:rPr>
  </w:style>
  <w:style w:type="character" w:styleId="WW8Num41z0">
    <w:name w:val="WW8Num41z0"/>
    <w:qFormat/>
    <w:rPr>
      <w:rFonts w:ascii="Arial" w:hAnsi="Arial" w:cs="Arial"/>
      <w:b w:val="false"/>
      <w:i w:val="false"/>
      <w:sz w:val="20"/>
    </w:rPr>
  </w:style>
  <w:style w:type="character" w:styleId="WW8Num43z0">
    <w:name w:val="WW8Num43z0"/>
    <w:qFormat/>
    <w:rPr>
      <w:rFonts w:ascii="Symbol" w:hAnsi="Symbol" w:cs="Symbol"/>
    </w:rPr>
  </w:style>
  <w:style w:type="character" w:styleId="WW8Num44z0">
    <w:name w:val="WW8Num44z0"/>
    <w:qFormat/>
    <w:rPr>
      <w:rFonts w:ascii="Arial" w:hAnsi="Arial" w:cs="Arial"/>
      <w:b w:val="false"/>
      <w:i w:val="false"/>
      <w:sz w:val="20"/>
    </w:rPr>
  </w:style>
  <w:style w:type="character" w:styleId="WW8Num47z0">
    <w:name w:val="WW8Num47z0"/>
    <w:qFormat/>
    <w:rPr>
      <w:rFonts w:ascii="Arial" w:hAnsi="Arial" w:cs="Arial"/>
      <w:b w:val="false"/>
      <w:i w:val="false"/>
      <w:sz w:val="20"/>
    </w:rPr>
  </w:style>
  <w:style w:type="character" w:styleId="WW8Num49z0">
    <w:name w:val="WW8Num49z0"/>
    <w:qFormat/>
    <w:rPr>
      <w:rFonts w:ascii="Arial" w:hAnsi="Arial" w:cs="Arial"/>
      <w:b/>
      <w:i w:val="false"/>
      <w:sz w:val="20"/>
    </w:rPr>
  </w:style>
  <w:style w:type="character" w:styleId="WW8Num50z0">
    <w:name w:val="WW8Num50z0"/>
    <w:qFormat/>
    <w:rPr>
      <w:rFonts w:ascii="Symbol" w:hAnsi="Symbol" w:cs="Symbol"/>
    </w:rPr>
  </w:style>
  <w:style w:type="character" w:styleId="WW8Num51z0">
    <w:name w:val="WW8Num51z0"/>
    <w:qFormat/>
    <w:rPr>
      <w:rFonts w:ascii="Arial" w:hAnsi="Arial" w:cs="Arial"/>
      <w:b w:val="false"/>
      <w:i w:val="false"/>
      <w:sz w:val="20"/>
    </w:rPr>
  </w:style>
  <w:style w:type="character" w:styleId="WW8Num52z0">
    <w:name w:val="WW8Num52z0"/>
    <w:qFormat/>
    <w:rPr>
      <w:rFonts w:ascii="Symbol" w:hAnsi="Symbol" w:cs="Symbol"/>
      <w:b w:val="false"/>
      <w:i w:val="false"/>
      <w:sz w:val="20"/>
    </w:rPr>
  </w:style>
  <w:style w:type="character" w:styleId="WW8Num53z0">
    <w:name w:val="WW8Num53z0"/>
    <w:qFormat/>
    <w:rPr>
      <w:rFonts w:ascii="Arial" w:hAnsi="Arial" w:cs="Arial"/>
      <w:b/>
      <w:i w:val="false"/>
      <w:sz w:val="22"/>
    </w:rPr>
  </w:style>
  <w:style w:type="character" w:styleId="WW8Num53z1">
    <w:name w:val="WW8Num53z1"/>
    <w:qFormat/>
    <w:rPr>
      <w:rFonts w:ascii="Arial" w:hAnsi="Arial" w:cs="Arial"/>
      <w:b/>
      <w:i w:val="false"/>
      <w:sz w:val="21"/>
    </w:rPr>
  </w:style>
  <w:style w:type="character" w:styleId="WW8Num53z2">
    <w:name w:val="WW8Num53z2"/>
    <w:qFormat/>
    <w:rPr>
      <w:rFonts w:ascii="Arial" w:hAnsi="Arial" w:cs="Arial"/>
      <w:b/>
      <w:i w:val="false"/>
      <w:sz w:val="17"/>
    </w:rPr>
  </w:style>
  <w:style w:type="character" w:styleId="WW8Num53z3">
    <w:name w:val="WW8Num53z3"/>
    <w:qFormat/>
    <w:rPr>
      <w:rFonts w:ascii="Arial" w:hAnsi="Arial" w:cs="Arial"/>
      <w:b w:val="false"/>
      <w:i w:val="false"/>
      <w:sz w:val="20"/>
    </w:rPr>
  </w:style>
  <w:style w:type="character" w:styleId="WW8Num54z0">
    <w:name w:val="WW8Num54z0"/>
    <w:qFormat/>
    <w:rPr>
      <w:rFonts w:ascii="Arial" w:hAnsi="Arial" w:cs="Arial"/>
      <w:b w:val="false"/>
      <w:i w:val="false"/>
      <w:sz w:val="20"/>
    </w:rPr>
  </w:style>
  <w:style w:type="character" w:styleId="WW8Num55z0">
    <w:name w:val="WW8Num55z0"/>
    <w:qFormat/>
    <w:rPr>
      <w:rFonts w:ascii="Arial" w:hAnsi="Arial" w:cs="Arial"/>
      <w:b w:val="false"/>
      <w:i w:val="false"/>
      <w:sz w:val="20"/>
    </w:rPr>
  </w:style>
  <w:style w:type="character" w:styleId="WW8Num57z0">
    <w:name w:val="WW8Num57z0"/>
    <w:qFormat/>
    <w:rPr>
      <w:rFonts w:ascii="Arial" w:hAnsi="Arial" w:cs="Arial"/>
      <w:b/>
      <w:i w:val="false"/>
      <w:sz w:val="21"/>
    </w:rPr>
  </w:style>
  <w:style w:type="character" w:styleId="WW8Num57z1">
    <w:name w:val="WW8Num57z1"/>
    <w:qFormat/>
    <w:rPr>
      <w:rFonts w:ascii="Arial" w:hAnsi="Arial" w:cs="Arial"/>
      <w:b/>
      <w:i w:val="false"/>
      <w:sz w:val="20"/>
    </w:rPr>
  </w:style>
  <w:style w:type="character" w:styleId="WW8Num57z2">
    <w:name w:val="WW8Num57z2"/>
    <w:qFormat/>
    <w:rPr>
      <w:b/>
      <w:i w:val="false"/>
      <w:sz w:val="17"/>
    </w:rPr>
  </w:style>
  <w:style w:type="character" w:styleId="WW8Num58z0">
    <w:name w:val="WW8Num58z0"/>
    <w:qFormat/>
    <w:rPr>
      <w:rFonts w:ascii="Arial" w:hAnsi="Arial" w:cs="Arial"/>
      <w:b w:val="false"/>
      <w:i w:val="false"/>
      <w:sz w:val="20"/>
    </w:rPr>
  </w:style>
  <w:style w:type="character" w:styleId="WW8Num59z0">
    <w:name w:val="WW8Num59z0"/>
    <w:qFormat/>
    <w:rPr>
      <w:rFonts w:ascii="Arial" w:hAnsi="Arial" w:cs="Arial"/>
      <w:b w:val="false"/>
      <w:i w:val="false"/>
      <w:sz w:val="20"/>
    </w:rPr>
  </w:style>
  <w:style w:type="character" w:styleId="WW8Num60z0">
    <w:name w:val="WW8Num60z0"/>
    <w:qFormat/>
    <w:rPr>
      <w:rFonts w:ascii="Symbol" w:hAnsi="Symbol" w:cs="Symbol"/>
    </w:rPr>
  </w:style>
  <w:style w:type="character" w:styleId="WW8Num61z0">
    <w:name w:val="WW8Num61z0"/>
    <w:qFormat/>
    <w:rPr>
      <w:rFonts w:ascii="Arial" w:hAnsi="Arial" w:cs="Arial"/>
      <w:b/>
      <w:i w:val="false"/>
      <w:sz w:val="20"/>
    </w:rPr>
  </w:style>
  <w:style w:type="character" w:styleId="WW8Num61z1">
    <w:name w:val="WW8Num61z1"/>
    <w:qFormat/>
    <w:rPr>
      <w:rFonts w:ascii="Arial" w:hAnsi="Arial" w:cs="Arial"/>
      <w:b/>
      <w:i w:val="false"/>
      <w:sz w:val="19"/>
    </w:rPr>
  </w:style>
  <w:style w:type="character" w:styleId="WW8Num61z2">
    <w:name w:val="WW8Num61z2"/>
    <w:qFormat/>
    <w:rPr>
      <w:rFonts w:ascii="Arial" w:hAnsi="Arial" w:cs="Arial"/>
      <w:b w:val="false"/>
      <w:i w:val="false"/>
      <w:sz w:val="17"/>
    </w:rPr>
  </w:style>
  <w:style w:type="character" w:styleId="WW8Num62z0">
    <w:name w:val="WW8Num62z0"/>
    <w:qFormat/>
    <w:rPr>
      <w:rFonts w:ascii="Symbol" w:hAnsi="Symbol" w:cs="Symbol"/>
    </w:rPr>
  </w:style>
  <w:style w:type="character" w:styleId="WW8Num63z0">
    <w:name w:val="WW8Num63z0"/>
    <w:qFormat/>
    <w:rPr>
      <w:rFonts w:ascii="Arial" w:hAnsi="Arial" w:cs="Arial"/>
      <w:b w:val="false"/>
      <w:i w:val="false"/>
      <w:sz w:val="20"/>
    </w:rPr>
  </w:style>
  <w:style w:type="character" w:styleId="WW8Num65z0">
    <w:name w:val="WW8Num65z0"/>
    <w:qFormat/>
    <w:rPr>
      <w:rFonts w:ascii="Arial" w:hAnsi="Arial" w:cs="Arial"/>
      <w:b w:val="false"/>
      <w:i w:val="false"/>
      <w:sz w:val="20"/>
    </w:rPr>
  </w:style>
  <w:style w:type="character" w:styleId="WW8Num67z0">
    <w:name w:val="WW8Num67z0"/>
    <w:qFormat/>
    <w:rPr>
      <w:rFonts w:ascii="Arial" w:hAnsi="Arial" w:cs="Arial"/>
      <w:b w:val="false"/>
      <w:i w:val="false"/>
      <w:sz w:val="20"/>
    </w:rPr>
  </w:style>
  <w:style w:type="character" w:styleId="WW8Num69z0">
    <w:name w:val="WW8Num69z0"/>
    <w:qFormat/>
    <w:rPr>
      <w:rFonts w:ascii="Arial" w:hAnsi="Arial" w:cs="Arial"/>
      <w:b/>
      <w:i w:val="false"/>
      <w:sz w:val="22"/>
    </w:rPr>
  </w:style>
  <w:style w:type="character" w:styleId="WW8Num69z1">
    <w:name w:val="WW8Num69z1"/>
    <w:qFormat/>
    <w:rPr>
      <w:rFonts w:ascii="Arial" w:hAnsi="Arial" w:cs="Arial"/>
      <w:b w:val="false"/>
      <w:i w:val="false"/>
      <w:sz w:val="20"/>
    </w:rPr>
  </w:style>
  <w:style w:type="character" w:styleId="WW8Num71z0">
    <w:name w:val="WW8Num71z0"/>
    <w:qFormat/>
    <w:rPr>
      <w:rFonts w:ascii="Arial" w:hAnsi="Arial" w:cs="Arial"/>
      <w:b w:val="false"/>
      <w:i w:val="false"/>
      <w:sz w:val="20"/>
    </w:rPr>
  </w:style>
  <w:style w:type="character" w:styleId="WW8Num72z0">
    <w:name w:val="WW8Num72z0"/>
    <w:qFormat/>
    <w:rPr>
      <w:rFonts w:ascii="Symbol" w:hAnsi="Symbol" w:cs="Symbol"/>
    </w:rPr>
  </w:style>
  <w:style w:type="character" w:styleId="WW8Num74z0">
    <w:name w:val="WW8Num74z0"/>
    <w:qFormat/>
    <w:rPr>
      <w:b/>
      <w:i w:val="false"/>
    </w:rPr>
  </w:style>
  <w:style w:type="character" w:styleId="WW8Num76z0">
    <w:name w:val="WW8Num76z0"/>
    <w:qFormat/>
    <w:rPr>
      <w:rFonts w:ascii="Arial" w:hAnsi="Arial" w:cs="Arial"/>
      <w:b w:val="false"/>
      <w:i w:val="false"/>
      <w:sz w:val="20"/>
    </w:rPr>
  </w:style>
  <w:style w:type="character" w:styleId="WW8Num77z0">
    <w:name w:val="WW8Num77z0"/>
    <w:qFormat/>
    <w:rPr>
      <w:rFonts w:ascii="Arial" w:hAnsi="Arial" w:cs="Arial"/>
      <w:b w:val="false"/>
      <w:i w:val="false"/>
      <w:sz w:val="20"/>
    </w:rPr>
  </w:style>
  <w:style w:type="character" w:styleId="WW8Num79z0">
    <w:name w:val="WW8Num79z0"/>
    <w:qFormat/>
    <w:rPr>
      <w:rFonts w:ascii="Arial" w:hAnsi="Arial" w:cs="Arial"/>
      <w:b w:val="false"/>
      <w:i w:val="false"/>
      <w:sz w:val="20"/>
    </w:rPr>
  </w:style>
  <w:style w:type="character" w:styleId="WW8Num80z0">
    <w:name w:val="WW8Num80z0"/>
    <w:qFormat/>
    <w:rPr>
      <w:b/>
      <w:i w:val="false"/>
    </w:rPr>
  </w:style>
  <w:style w:type="character" w:styleId="WW8Num80z1">
    <w:name w:val="WW8Num80z1"/>
    <w:qFormat/>
    <w:rPr/>
  </w:style>
  <w:style w:type="character" w:styleId="WW8Num80z4">
    <w:name w:val="WW8Num80z4"/>
    <w:qFormat/>
    <w:rPr>
      <w:rFonts w:ascii="Symbol" w:hAnsi="Symbol" w:cs="Symbol"/>
    </w:rPr>
  </w:style>
  <w:style w:type="character" w:styleId="WW8Num80z5">
    <w:name w:val="WW8Num80z5"/>
    <w:qFormat/>
    <w:rPr>
      <w:rFonts w:ascii="Wingdings" w:hAnsi="Wingdings" w:cs="Wingdings"/>
    </w:rPr>
  </w:style>
  <w:style w:type="character" w:styleId="WW8Num81z0">
    <w:name w:val="WW8Num81z0"/>
    <w:qFormat/>
    <w:rPr>
      <w:rFonts w:ascii="Arial" w:hAnsi="Arial" w:cs="Arial"/>
      <w:b w:val="false"/>
      <w:i w:val="false"/>
      <w:sz w:val="20"/>
    </w:rPr>
  </w:style>
  <w:style w:type="character" w:styleId="WW8Num82z0">
    <w:name w:val="WW8Num82z0"/>
    <w:qFormat/>
    <w:rPr>
      <w:rFonts w:ascii="Symbol" w:hAnsi="Symbol" w:cs="Symbol"/>
    </w:rPr>
  </w:style>
  <w:style w:type="character" w:styleId="WW8Num83z0">
    <w:name w:val="WW8Num83z0"/>
    <w:qFormat/>
    <w:rPr>
      <w:rFonts w:ascii="Arial" w:hAnsi="Arial" w:cs="Arial"/>
      <w:b/>
      <w:i w:val="false"/>
      <w:sz w:val="22"/>
    </w:rPr>
  </w:style>
  <w:style w:type="character" w:styleId="WW8Num83z1">
    <w:name w:val="WW8Num83z1"/>
    <w:qFormat/>
    <w:rPr>
      <w:rFonts w:ascii="Arial" w:hAnsi="Arial" w:cs="Arial"/>
      <w:b/>
      <w:i w:val="false"/>
      <w:sz w:val="21"/>
    </w:rPr>
  </w:style>
  <w:style w:type="character" w:styleId="WW8Num83z2">
    <w:name w:val="WW8Num83z2"/>
    <w:qFormat/>
    <w:rPr>
      <w:rFonts w:ascii="Arial" w:hAnsi="Arial" w:cs="Arial"/>
      <w:b/>
      <w:i w:val="false"/>
      <w:sz w:val="17"/>
    </w:rPr>
  </w:style>
  <w:style w:type="character" w:styleId="WW8Num83z3">
    <w:name w:val="WW8Num83z3"/>
    <w:qFormat/>
    <w:rPr>
      <w:rFonts w:ascii="Arial" w:hAnsi="Arial" w:cs="Arial"/>
      <w:b w:val="false"/>
      <w:i w:val="false"/>
      <w:sz w:val="20"/>
    </w:rPr>
  </w:style>
  <w:style w:type="character" w:styleId="WW8Num85z0">
    <w:name w:val="WW8Num85z0"/>
    <w:qFormat/>
    <w:rPr>
      <w:rFonts w:ascii="Arial" w:hAnsi="Arial" w:cs="Arial"/>
      <w:b/>
      <w:i w:val="false"/>
      <w:sz w:val="21"/>
    </w:rPr>
  </w:style>
  <w:style w:type="character" w:styleId="WW8Num85z1">
    <w:name w:val="WW8Num85z1"/>
    <w:qFormat/>
    <w:rPr>
      <w:rFonts w:ascii="Arial" w:hAnsi="Arial" w:cs="Arial"/>
      <w:b/>
      <w:i w:val="false"/>
      <w:sz w:val="20"/>
    </w:rPr>
  </w:style>
  <w:style w:type="character" w:styleId="WW8Num85z2">
    <w:name w:val="WW8Num85z2"/>
    <w:qFormat/>
    <w:rPr>
      <w:rFonts w:ascii="Arial" w:hAnsi="Arial" w:cs="Arial"/>
      <w:b/>
      <w:i w:val="false"/>
      <w:sz w:val="17"/>
    </w:rPr>
  </w:style>
  <w:style w:type="character" w:styleId="WW8Num85z3">
    <w:name w:val="WW8Num85z3"/>
    <w:qFormat/>
    <w:rPr>
      <w:rFonts w:ascii="Arial" w:hAnsi="Arial" w:cs="Arial"/>
      <w:b w:val="false"/>
      <w:i w:val="false"/>
      <w:sz w:val="20"/>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Arial" w:hAnsi="Arial" w:cs="Arial"/>
      <w:b w:val="false"/>
      <w:i w:val="false"/>
      <w:sz w:val="20"/>
    </w:rPr>
  </w:style>
  <w:style w:type="character" w:styleId="WW8Num89z0">
    <w:name w:val="WW8Num89z0"/>
    <w:qFormat/>
    <w:rPr>
      <w:rFonts w:ascii="Arial" w:hAnsi="Arial" w:cs="Arial"/>
      <w:b/>
      <w:i w:val="false"/>
      <w:sz w:val="20"/>
    </w:rPr>
  </w:style>
  <w:style w:type="character" w:styleId="WW8Num89z2">
    <w:name w:val="WW8Num89z2"/>
    <w:qFormat/>
    <w:rPr>
      <w:rFonts w:ascii="Arial" w:hAnsi="Arial" w:cs="Arial"/>
      <w:b/>
      <w:i w:val="false"/>
      <w:sz w:val="17"/>
    </w:rPr>
  </w:style>
  <w:style w:type="character" w:styleId="WW8Num89z3">
    <w:name w:val="WW8Num89z3"/>
    <w:qFormat/>
    <w:rPr>
      <w:rFonts w:ascii="Arial" w:hAnsi="Arial" w:cs="Arial"/>
      <w:b w:val="false"/>
      <w:i w:val="false"/>
      <w:sz w:val="20"/>
    </w:rPr>
  </w:style>
  <w:style w:type="character" w:styleId="DefaultParagraphFont">
    <w:name w:val="Default Paragraph Font"/>
    <w:qFormat/>
    <w:rPr/>
  </w:style>
  <w:style w:type="character" w:styleId="EndnoteCharacters">
    <w:name w:val="Endnote Characters"/>
    <w:basedOn w:val="DefaultParagraphFont"/>
    <w:qFormat/>
    <w:rPr>
      <w:rFonts w:ascii="Arial" w:hAnsi="Arial" w:cs="Arial"/>
      <w:vertAlign w:val="superscript"/>
    </w:rPr>
  </w:style>
  <w:style w:type="character" w:styleId="Hyperlink">
    <w:name w:val="Hyperlink"/>
    <w:basedOn w:val="DefaultParagraphFont"/>
    <w:rPr>
      <w:rFonts w:ascii="Arial" w:hAnsi="Arial" w:cs="Arial"/>
      <w:color w:val="0000FF"/>
      <w:sz w:val="20"/>
      <w:u w:val="single"/>
    </w:rPr>
  </w:style>
  <w:style w:type="character" w:styleId="PageNumber">
    <w:name w:val="page number"/>
    <w:basedOn w:val="DefaultParagraphFont"/>
    <w:rPr/>
  </w:style>
  <w:style w:type="character" w:styleId="FootnoteCharacters">
    <w:name w:val="Footnote Characters"/>
    <w:basedOn w:val="DefaultParagraphFont"/>
    <w:qFormat/>
    <w:rPr>
      <w:rFonts w:ascii="Arial" w:hAnsi="Arial" w:cs="Arial"/>
      <w:vertAlign w:val="superscript"/>
    </w:rPr>
  </w:style>
  <w:style w:type="paragraph" w:styleId="Heading">
    <w:name w:val="Heading"/>
    <w:basedOn w:val="Normal"/>
    <w:next w:val="Body"/>
    <w:qFormat/>
    <w:pPr>
      <w:keepNext w:val="true"/>
      <w:keepLines/>
      <w:spacing w:before="0" w:after="240"/>
      <w:jc w:val="both"/>
      <w:outlineLvl w:val="0"/>
    </w:pPr>
    <w:rPr>
      <w:b/>
      <w:kern w:val="2"/>
      <w:sz w:val="25"/>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lpha1">
    <w:name w:val="alpha 1"/>
    <w:basedOn w:val="Normal"/>
    <w:qFormat/>
    <w:pPr>
      <w:numPr>
        <w:ilvl w:val="0"/>
        <w:numId w:val="7"/>
      </w:numPr>
      <w:spacing w:before="0" w:after="140"/>
      <w:jc w:val="both"/>
    </w:pPr>
    <w:rPr/>
  </w:style>
  <w:style w:type="paragraph" w:styleId="alpha2">
    <w:name w:val="alpha 2"/>
    <w:basedOn w:val="Normal"/>
    <w:qFormat/>
    <w:pPr>
      <w:numPr>
        <w:ilvl w:val="0"/>
        <w:numId w:val="5"/>
      </w:numPr>
      <w:spacing w:before="0" w:after="140"/>
      <w:jc w:val="both"/>
    </w:pPr>
    <w:rPr/>
  </w:style>
  <w:style w:type="paragraph" w:styleId="alpha3">
    <w:name w:val="alpha 3"/>
    <w:basedOn w:val="Normal"/>
    <w:qFormat/>
    <w:pPr>
      <w:numPr>
        <w:ilvl w:val="0"/>
        <w:numId w:val="14"/>
      </w:numPr>
      <w:tabs>
        <w:tab w:val="clear" w:pos="567"/>
        <w:tab w:val="left" w:pos="2041" w:leader="none"/>
      </w:tabs>
      <w:spacing w:before="0" w:after="140"/>
      <w:jc w:val="both"/>
    </w:pPr>
    <w:rPr/>
  </w:style>
  <w:style w:type="paragraph" w:styleId="alpha4">
    <w:name w:val="alpha 4"/>
    <w:basedOn w:val="Normal"/>
    <w:qFormat/>
    <w:pPr>
      <w:numPr>
        <w:ilvl w:val="0"/>
        <w:numId w:val="3"/>
      </w:numPr>
      <w:tabs>
        <w:tab w:val="clear" w:pos="567"/>
        <w:tab w:val="left" w:pos="2608" w:leader="none"/>
      </w:tabs>
      <w:spacing w:before="0" w:after="140"/>
      <w:jc w:val="both"/>
    </w:pPr>
    <w:rPr/>
  </w:style>
  <w:style w:type="paragraph" w:styleId="alpha5">
    <w:name w:val="alpha 5"/>
    <w:basedOn w:val="Normal"/>
    <w:qFormat/>
    <w:pPr>
      <w:numPr>
        <w:ilvl w:val="0"/>
        <w:numId w:val="11"/>
      </w:numPr>
      <w:tabs>
        <w:tab w:val="clear" w:pos="567"/>
        <w:tab w:val="left" w:pos="3289" w:leader="none"/>
      </w:tabs>
      <w:spacing w:before="0" w:after="140"/>
      <w:ind w:hanging="680" w:start="3288" w:end="0"/>
      <w:jc w:val="both"/>
    </w:pPr>
    <w:rPr/>
  </w:style>
  <w:style w:type="paragraph" w:styleId="Body">
    <w:name w:val="Body"/>
    <w:basedOn w:val="Normal"/>
    <w:qFormat/>
    <w:pPr>
      <w:spacing w:before="0" w:after="140"/>
      <w:jc w:val="both"/>
    </w:pPr>
    <w:rPr/>
  </w:style>
  <w:style w:type="paragraph" w:styleId="Body1">
    <w:name w:val="Body 1"/>
    <w:basedOn w:val="Body"/>
    <w:qFormat/>
    <w:pPr>
      <w:tabs>
        <w:tab w:val="clear" w:pos="567"/>
        <w:tab w:val="left" w:pos="680" w:leader="none"/>
      </w:tabs>
      <w:ind w:hanging="0" w:start="680" w:end="0"/>
    </w:pPr>
    <w:rPr/>
  </w:style>
  <w:style w:type="paragraph" w:styleId="Body2">
    <w:name w:val="Body 2"/>
    <w:basedOn w:val="Body"/>
    <w:qFormat/>
    <w:pPr>
      <w:tabs>
        <w:tab w:val="clear" w:pos="567"/>
        <w:tab w:val="left" w:pos="680" w:leader="none"/>
      </w:tabs>
      <w:ind w:hanging="0" w:start="680" w:end="0"/>
    </w:pPr>
    <w:rPr/>
  </w:style>
  <w:style w:type="paragraph" w:styleId="Body3">
    <w:name w:val="Body 3"/>
    <w:basedOn w:val="Body"/>
    <w:qFormat/>
    <w:pPr>
      <w:tabs>
        <w:tab w:val="clear" w:pos="567"/>
        <w:tab w:val="left" w:pos="1361" w:leader="none"/>
      </w:tabs>
      <w:ind w:hanging="0" w:start="1361" w:end="0"/>
    </w:pPr>
    <w:rPr/>
  </w:style>
  <w:style w:type="paragraph" w:styleId="Body4">
    <w:name w:val="Body 4"/>
    <w:basedOn w:val="Body"/>
    <w:qFormat/>
    <w:pPr>
      <w:tabs>
        <w:tab w:val="clear" w:pos="567"/>
        <w:tab w:val="left" w:pos="2041" w:leader="none"/>
      </w:tabs>
      <w:ind w:hanging="0" w:start="2041" w:end="0"/>
    </w:pPr>
    <w:rPr/>
  </w:style>
  <w:style w:type="paragraph" w:styleId="Body5">
    <w:name w:val="Body 5"/>
    <w:basedOn w:val="Body"/>
    <w:qFormat/>
    <w:pPr>
      <w:tabs>
        <w:tab w:val="clear" w:pos="567"/>
        <w:tab w:val="left" w:pos="2608" w:leader="none"/>
      </w:tabs>
      <w:ind w:hanging="0" w:start="2608" w:end="0"/>
    </w:pPr>
    <w:rPr/>
  </w:style>
  <w:style w:type="paragraph" w:styleId="Body6">
    <w:name w:val="Body 6"/>
    <w:basedOn w:val="Body"/>
    <w:qFormat/>
    <w:pPr>
      <w:tabs>
        <w:tab w:val="clear" w:pos="567"/>
        <w:tab w:val="left" w:pos="3289" w:leader="none"/>
      </w:tabs>
      <w:ind w:hanging="0" w:start="3289" w:end="0"/>
    </w:pPr>
    <w:rPr/>
  </w:style>
  <w:style w:type="paragraph" w:styleId="Bullet1">
    <w:name w:val="Bullet 1"/>
    <w:basedOn w:val="Normal"/>
    <w:qFormat/>
    <w:pPr>
      <w:numPr>
        <w:ilvl w:val="0"/>
        <w:numId w:val="6"/>
      </w:numPr>
      <w:tabs>
        <w:tab w:val="clear" w:pos="567"/>
        <w:tab w:val="left" w:pos="680" w:leader="none"/>
      </w:tabs>
      <w:spacing w:before="0" w:after="140"/>
      <w:jc w:val="both"/>
    </w:pPr>
    <w:rPr/>
  </w:style>
  <w:style w:type="paragraph" w:styleId="Bullet2">
    <w:name w:val="Bullet 2"/>
    <w:basedOn w:val="Normal"/>
    <w:qFormat/>
    <w:pPr>
      <w:numPr>
        <w:ilvl w:val="0"/>
        <w:numId w:val="26"/>
      </w:numPr>
      <w:spacing w:before="0" w:after="140"/>
      <w:jc w:val="both"/>
    </w:pPr>
    <w:rPr/>
  </w:style>
  <w:style w:type="paragraph" w:styleId="Bullet3">
    <w:name w:val="Bullet 3"/>
    <w:basedOn w:val="Normal"/>
    <w:qFormat/>
    <w:pPr>
      <w:numPr>
        <w:ilvl w:val="0"/>
        <w:numId w:val="9"/>
      </w:numPr>
      <w:tabs>
        <w:tab w:val="clear" w:pos="567"/>
        <w:tab w:val="left" w:pos="2041" w:leader="none"/>
      </w:tabs>
      <w:spacing w:before="0" w:after="140"/>
      <w:jc w:val="both"/>
    </w:pPr>
    <w:rPr/>
  </w:style>
  <w:style w:type="paragraph" w:styleId="Bullet4">
    <w:name w:val="Bullet 4"/>
    <w:basedOn w:val="Normal"/>
    <w:qFormat/>
    <w:pPr>
      <w:numPr>
        <w:ilvl w:val="0"/>
        <w:numId w:val="12"/>
      </w:numPr>
      <w:tabs>
        <w:tab w:val="clear" w:pos="567"/>
        <w:tab w:val="left" w:pos="2608" w:leader="none"/>
      </w:tabs>
      <w:spacing w:before="0" w:after="140"/>
      <w:jc w:val="both"/>
    </w:pPr>
    <w:rPr/>
  </w:style>
  <w:style w:type="paragraph" w:styleId="Bullet5">
    <w:name w:val="Bullet 5"/>
    <w:basedOn w:val="Normal"/>
    <w:qFormat/>
    <w:pPr>
      <w:numPr>
        <w:ilvl w:val="0"/>
        <w:numId w:val="13"/>
      </w:numPr>
      <w:tabs>
        <w:tab w:val="clear" w:pos="567"/>
        <w:tab w:val="left" w:pos="3289" w:leader="none"/>
      </w:tabs>
      <w:spacing w:before="0" w:after="140"/>
      <w:ind w:hanging="680" w:start="3288" w:end="0"/>
      <w:jc w:val="both"/>
    </w:pPr>
    <w:rPr/>
  </w:style>
  <w:style w:type="paragraph" w:styleId="Bullet6">
    <w:name w:val="Bullet 6"/>
    <w:basedOn w:val="Normal"/>
    <w:qFormat/>
    <w:pPr>
      <w:numPr>
        <w:ilvl w:val="0"/>
        <w:numId w:val="2"/>
      </w:numPr>
      <w:tabs>
        <w:tab w:val="clear" w:pos="567"/>
        <w:tab w:val="left" w:pos="3856" w:leader="none"/>
      </w:tabs>
      <w:spacing w:before="0" w:after="140"/>
      <w:jc w:val="both"/>
    </w:pPr>
    <w:rPr/>
  </w:style>
  <w:style w:type="paragraph" w:styleId="CellBody">
    <w:name w:val="CellBody"/>
    <w:basedOn w:val="Normal"/>
    <w:qFormat/>
    <w:pPr>
      <w:spacing w:before="60" w:after="60"/>
    </w:pPr>
    <w:rPr/>
  </w:style>
  <w:style w:type="paragraph" w:styleId="CellHead">
    <w:name w:val="CellHead"/>
    <w:basedOn w:val="Normal"/>
    <w:qFormat/>
    <w:pPr>
      <w:keepNext w:val="true"/>
      <w:spacing w:lineRule="auto" w:line="257" w:before="60" w:after="60"/>
    </w:pPr>
    <w:rPr>
      <w:b/>
    </w:rPr>
  </w:style>
  <w:style w:type="paragraph" w:styleId="HeaderandFooter">
    <w:name w:val="Header and Footer"/>
    <w:basedOn w:val="Normal"/>
    <w:qFormat/>
    <w:pPr>
      <w:suppressLineNumbers/>
      <w:tabs>
        <w:tab w:val="clear" w:pos="567"/>
        <w:tab w:val="center" w:pos="4986" w:leader="none"/>
        <w:tab w:val="right" w:pos="9972" w:leader="none"/>
      </w:tabs>
    </w:pPr>
    <w:rPr/>
  </w:style>
  <w:style w:type="paragraph" w:styleId="Footer">
    <w:name w:val="footer"/>
    <w:basedOn w:val="Normal"/>
    <w:pPr>
      <w:tabs>
        <w:tab w:val="clear" w:pos="567"/>
        <w:tab w:val="center" w:pos="4536" w:leader="none"/>
        <w:tab w:val="right" w:pos="10206" w:leader="none"/>
      </w:tabs>
      <w:spacing w:lineRule="auto" w:line="240"/>
    </w:pPr>
    <w:rPr>
      <w:sz w:val="17"/>
    </w:rPr>
  </w:style>
  <w:style w:type="paragraph" w:styleId="FootnoteText">
    <w:name w:val="footnote text"/>
    <w:basedOn w:val="Normal"/>
    <w:pPr>
      <w:keepLines/>
      <w:tabs>
        <w:tab w:val="clear" w:pos="567"/>
        <w:tab w:val="left" w:pos="227" w:leader="none"/>
      </w:tabs>
      <w:spacing w:lineRule="atLeast" w:line="200" w:before="0" w:after="60"/>
      <w:jc w:val="both"/>
    </w:pPr>
    <w:rPr>
      <w:sz w:val="16"/>
    </w:rPr>
  </w:style>
  <w:style w:type="paragraph" w:styleId="Head">
    <w:name w:val="Head"/>
    <w:basedOn w:val="Normal"/>
    <w:next w:val="Body"/>
    <w:qFormat/>
    <w:pPr>
      <w:keepNext w:val="true"/>
      <w:keepLines/>
      <w:spacing w:before="140" w:after="140"/>
      <w:jc w:val="both"/>
    </w:pPr>
    <w:rPr>
      <w:b/>
      <w:sz w:val="23"/>
    </w:rPr>
  </w:style>
  <w:style w:type="paragraph" w:styleId="Head1">
    <w:name w:val="Head 1"/>
    <w:basedOn w:val="Normal"/>
    <w:next w:val="Body1"/>
    <w:qFormat/>
    <w:pPr>
      <w:keepNext w:val="true"/>
      <w:keepLines/>
      <w:spacing w:before="140" w:after="140"/>
      <w:ind w:hanging="0" w:start="680" w:end="0"/>
      <w:jc w:val="both"/>
    </w:pPr>
    <w:rPr>
      <w:b/>
      <w:sz w:val="22"/>
    </w:rPr>
  </w:style>
  <w:style w:type="paragraph" w:styleId="Head2">
    <w:name w:val="Head 2"/>
    <w:basedOn w:val="Normal"/>
    <w:next w:val="Body3"/>
    <w:qFormat/>
    <w:pPr>
      <w:keepNext w:val="true"/>
      <w:keepLines/>
      <w:spacing w:before="140" w:after="60"/>
      <w:ind w:hanging="0" w:start="1361" w:end="0"/>
      <w:jc w:val="both"/>
    </w:pPr>
    <w:rPr>
      <w:b/>
      <w:sz w:val="21"/>
    </w:rPr>
  </w:style>
  <w:style w:type="paragraph" w:styleId="Head3">
    <w:name w:val="Head 3"/>
    <w:basedOn w:val="Body"/>
    <w:next w:val="Body4"/>
    <w:qFormat/>
    <w:pPr>
      <w:keepNext w:val="true"/>
      <w:keepLines/>
      <w:spacing w:before="140" w:after="40"/>
      <w:ind w:hanging="0" w:start="2041" w:end="0"/>
    </w:pPr>
    <w:rPr>
      <w:b/>
    </w:rPr>
  </w:style>
  <w:style w:type="paragraph" w:styleId="Header">
    <w:name w:val="header"/>
    <w:basedOn w:val="Normal"/>
    <w:pPr>
      <w:tabs>
        <w:tab w:val="clear" w:pos="567"/>
        <w:tab w:val="center" w:pos="4536" w:leader="none"/>
        <w:tab w:val="right" w:pos="9072" w:leader="none"/>
      </w:tabs>
      <w:spacing w:lineRule="auto" w:line="240"/>
    </w:pPr>
    <w:rPr>
      <w:sz w:val="19"/>
    </w:rPr>
  </w:style>
  <w:style w:type="paragraph" w:styleId="Level1">
    <w:name w:val="Level 1"/>
    <w:basedOn w:val="Normal"/>
    <w:next w:val="Body1"/>
    <w:qFormat/>
    <w:pPr>
      <w:keepNext w:val="true"/>
      <w:numPr>
        <w:ilvl w:val="0"/>
        <w:numId w:val="27"/>
      </w:numPr>
      <w:spacing w:before="140" w:after="140"/>
      <w:jc w:val="both"/>
      <w:outlineLvl w:val="0"/>
    </w:pPr>
    <w:rPr>
      <w:b/>
      <w:sz w:val="22"/>
    </w:rPr>
  </w:style>
  <w:style w:type="paragraph" w:styleId="Level2">
    <w:name w:val="Level 2"/>
    <w:basedOn w:val="Normal"/>
    <w:qFormat/>
    <w:pPr>
      <w:numPr>
        <w:ilvl w:val="0"/>
        <w:numId w:val="27"/>
      </w:numPr>
      <w:spacing w:before="0" w:after="140"/>
      <w:jc w:val="both"/>
    </w:pPr>
    <w:rPr/>
  </w:style>
  <w:style w:type="paragraph" w:styleId="Level3">
    <w:name w:val="Level 3"/>
    <w:basedOn w:val="Normal"/>
    <w:qFormat/>
    <w:pPr>
      <w:numPr>
        <w:ilvl w:val="0"/>
        <w:numId w:val="27"/>
      </w:numPr>
      <w:spacing w:before="0" w:after="140"/>
      <w:jc w:val="both"/>
    </w:pPr>
    <w:rPr/>
  </w:style>
  <w:style w:type="paragraph" w:styleId="Level4">
    <w:name w:val="Level 4"/>
    <w:basedOn w:val="Normal"/>
    <w:qFormat/>
    <w:pPr>
      <w:numPr>
        <w:ilvl w:val="0"/>
        <w:numId w:val="27"/>
      </w:numPr>
      <w:spacing w:before="0" w:after="140"/>
      <w:jc w:val="both"/>
    </w:pPr>
    <w:rPr/>
  </w:style>
  <w:style w:type="paragraph" w:styleId="Level5">
    <w:name w:val="Level 5"/>
    <w:basedOn w:val="Normal"/>
    <w:qFormat/>
    <w:pPr>
      <w:numPr>
        <w:ilvl w:val="0"/>
        <w:numId w:val="27"/>
      </w:numPr>
      <w:spacing w:before="0" w:after="140"/>
      <w:jc w:val="both"/>
    </w:pPr>
    <w:rPr/>
  </w:style>
  <w:style w:type="paragraph" w:styleId="Level6">
    <w:name w:val="Level 6"/>
    <w:basedOn w:val="Normal"/>
    <w:qFormat/>
    <w:pPr>
      <w:numPr>
        <w:ilvl w:val="0"/>
        <w:numId w:val="27"/>
      </w:numPr>
      <w:spacing w:before="0" w:after="140"/>
      <w:ind w:hanging="680" w:start="3288" w:end="0"/>
      <w:jc w:val="both"/>
    </w:pPr>
    <w:rPr/>
  </w:style>
  <w:style w:type="paragraph" w:styleId="Recitals">
    <w:name w:val="Recitals"/>
    <w:basedOn w:val="Normal"/>
    <w:qFormat/>
    <w:pPr>
      <w:numPr>
        <w:ilvl w:val="0"/>
        <w:numId w:val="23"/>
      </w:numPr>
      <w:tabs>
        <w:tab w:val="clear" w:pos="567"/>
        <w:tab w:val="left" w:pos="680" w:leader="none"/>
      </w:tabs>
      <w:spacing w:before="0" w:after="140"/>
      <w:jc w:val="both"/>
    </w:pPr>
    <w:rPr/>
  </w:style>
  <w:style w:type="paragraph" w:styleId="Parties">
    <w:name w:val="Parties"/>
    <w:basedOn w:val="Normal"/>
    <w:qFormat/>
    <w:pPr>
      <w:numPr>
        <w:ilvl w:val="0"/>
        <w:numId w:val="16"/>
      </w:numPr>
      <w:tabs>
        <w:tab w:val="clear" w:pos="567"/>
        <w:tab w:val="left" w:pos="680" w:leader="none"/>
      </w:tabs>
      <w:spacing w:before="0" w:after="140"/>
      <w:jc w:val="both"/>
    </w:pPr>
    <w:rPr/>
  </w:style>
  <w:style w:type="paragraph" w:styleId="roman1">
    <w:name w:val="roman 1"/>
    <w:basedOn w:val="Normal"/>
    <w:qFormat/>
    <w:pPr>
      <w:numPr>
        <w:ilvl w:val="0"/>
        <w:numId w:val="20"/>
      </w:numPr>
      <w:tabs>
        <w:tab w:val="clear" w:pos="567"/>
        <w:tab w:val="left" w:pos="680" w:leader="none"/>
      </w:tabs>
      <w:spacing w:before="0" w:after="140"/>
      <w:jc w:val="both"/>
    </w:pPr>
    <w:rPr/>
  </w:style>
  <w:style w:type="paragraph" w:styleId="roman2">
    <w:name w:val="roman 2"/>
    <w:basedOn w:val="Normal"/>
    <w:qFormat/>
    <w:pPr>
      <w:numPr>
        <w:ilvl w:val="0"/>
        <w:numId w:val="24"/>
      </w:numPr>
      <w:spacing w:before="0" w:after="140"/>
      <w:jc w:val="both"/>
    </w:pPr>
    <w:rPr/>
  </w:style>
  <w:style w:type="paragraph" w:styleId="roman3">
    <w:name w:val="roman 3"/>
    <w:basedOn w:val="Normal"/>
    <w:qFormat/>
    <w:pPr>
      <w:numPr>
        <w:ilvl w:val="0"/>
        <w:numId w:val="17"/>
      </w:numPr>
      <w:tabs>
        <w:tab w:val="clear" w:pos="567"/>
        <w:tab w:val="left" w:pos="2041" w:leader="none"/>
      </w:tabs>
      <w:spacing w:before="0" w:after="140"/>
      <w:jc w:val="both"/>
    </w:pPr>
    <w:rPr/>
  </w:style>
  <w:style w:type="paragraph" w:styleId="roman4">
    <w:name w:val="roman 4"/>
    <w:basedOn w:val="Normal"/>
    <w:qFormat/>
    <w:pPr>
      <w:numPr>
        <w:ilvl w:val="0"/>
        <w:numId w:val="21"/>
      </w:numPr>
      <w:tabs>
        <w:tab w:val="clear" w:pos="567"/>
        <w:tab w:val="left" w:pos="2608" w:leader="none"/>
      </w:tabs>
      <w:spacing w:before="0" w:after="140"/>
      <w:jc w:val="both"/>
    </w:pPr>
    <w:rPr/>
  </w:style>
  <w:style w:type="paragraph" w:styleId="roman5">
    <w:name w:val="roman 5"/>
    <w:basedOn w:val="Normal"/>
    <w:qFormat/>
    <w:pPr>
      <w:numPr>
        <w:ilvl w:val="0"/>
        <w:numId w:val="15"/>
      </w:numPr>
      <w:tabs>
        <w:tab w:val="clear" w:pos="567"/>
        <w:tab w:val="left" w:pos="3289" w:leader="none"/>
      </w:tabs>
      <w:spacing w:before="0" w:after="140"/>
      <w:ind w:hanging="680" w:start="3288" w:end="0"/>
      <w:jc w:val="both"/>
    </w:pPr>
    <w:rPr/>
  </w:style>
  <w:style w:type="paragraph" w:styleId="roman6">
    <w:name w:val="roman 6"/>
    <w:basedOn w:val="Normal"/>
    <w:qFormat/>
    <w:pPr>
      <w:numPr>
        <w:ilvl w:val="0"/>
        <w:numId w:val="25"/>
      </w:numPr>
      <w:tabs>
        <w:tab w:val="clear" w:pos="567"/>
        <w:tab w:val="left" w:pos="3969" w:leader="none"/>
      </w:tabs>
      <w:spacing w:before="0" w:after="140"/>
      <w:jc w:val="both"/>
    </w:pPr>
    <w:rPr/>
  </w:style>
  <w:style w:type="paragraph" w:styleId="SchedApps">
    <w:name w:val="Sched/Apps"/>
    <w:basedOn w:val="Normal"/>
    <w:next w:val="Body"/>
    <w:qFormat/>
    <w:pPr>
      <w:keepNext w:val="true"/>
      <w:keepLines/>
      <w:pageBreakBefore/>
      <w:spacing w:before="0" w:after="240"/>
      <w:jc w:val="center"/>
      <w:outlineLvl w:val="3"/>
    </w:pPr>
    <w:rPr>
      <w:b/>
      <w:sz w:val="23"/>
    </w:rPr>
  </w:style>
  <w:style w:type="paragraph" w:styleId="Schedule1">
    <w:name w:val="Schedule 1"/>
    <w:basedOn w:val="Normal"/>
    <w:next w:val="Body1"/>
    <w:qFormat/>
    <w:pPr>
      <w:numPr>
        <w:ilvl w:val="0"/>
        <w:numId w:val="19"/>
      </w:numPr>
      <w:spacing w:before="0" w:after="140"/>
      <w:jc w:val="both"/>
      <w:outlineLvl w:val="0"/>
    </w:pPr>
    <w:rPr/>
  </w:style>
  <w:style w:type="paragraph" w:styleId="Schedule2">
    <w:name w:val="Schedule 2"/>
    <w:basedOn w:val="Normal"/>
    <w:next w:val="Body2"/>
    <w:qFormat/>
    <w:pPr>
      <w:numPr>
        <w:ilvl w:val="0"/>
        <w:numId w:val="19"/>
      </w:numPr>
      <w:spacing w:before="0" w:after="140"/>
      <w:jc w:val="both"/>
      <w:outlineLvl w:val="1"/>
    </w:pPr>
    <w:rPr/>
  </w:style>
  <w:style w:type="paragraph" w:styleId="Schedule3">
    <w:name w:val="Schedule 3"/>
    <w:basedOn w:val="Normal"/>
    <w:next w:val="Body3"/>
    <w:qFormat/>
    <w:pPr>
      <w:numPr>
        <w:ilvl w:val="0"/>
        <w:numId w:val="19"/>
      </w:numPr>
      <w:spacing w:before="0" w:after="140"/>
      <w:jc w:val="both"/>
    </w:pPr>
    <w:rPr/>
  </w:style>
  <w:style w:type="paragraph" w:styleId="Schedule4">
    <w:name w:val="Schedule 4"/>
    <w:basedOn w:val="Normal"/>
    <w:next w:val="Body4"/>
    <w:qFormat/>
    <w:pPr>
      <w:numPr>
        <w:ilvl w:val="0"/>
        <w:numId w:val="19"/>
      </w:numPr>
      <w:spacing w:before="0" w:after="140"/>
      <w:jc w:val="both"/>
      <w:outlineLvl w:val="3"/>
    </w:pPr>
    <w:rPr/>
  </w:style>
  <w:style w:type="paragraph" w:styleId="Schedule5">
    <w:name w:val="Schedule 5"/>
    <w:basedOn w:val="Normal"/>
    <w:next w:val="Body5"/>
    <w:qFormat/>
    <w:pPr>
      <w:numPr>
        <w:ilvl w:val="0"/>
        <w:numId w:val="19"/>
      </w:numPr>
      <w:spacing w:before="0" w:after="140"/>
      <w:jc w:val="both"/>
      <w:outlineLvl w:val="4"/>
    </w:pPr>
    <w:rPr/>
  </w:style>
  <w:style w:type="paragraph" w:styleId="Schedule6">
    <w:name w:val="Schedule 6"/>
    <w:basedOn w:val="Normal"/>
    <w:next w:val="Body6"/>
    <w:qFormat/>
    <w:pPr>
      <w:numPr>
        <w:ilvl w:val="0"/>
        <w:numId w:val="19"/>
      </w:numPr>
      <w:spacing w:before="0" w:after="140"/>
      <w:jc w:val="both"/>
    </w:pPr>
    <w:rPr/>
  </w:style>
  <w:style w:type="paragraph" w:styleId="SubHead">
    <w:name w:val="SubHead"/>
    <w:basedOn w:val="Normal"/>
    <w:next w:val="Body"/>
    <w:qFormat/>
    <w:pPr>
      <w:keepNext w:val="true"/>
      <w:keepLines/>
      <w:spacing w:before="60" w:after="60"/>
      <w:jc w:val="both"/>
    </w:pPr>
    <w:rPr>
      <w:b/>
      <w:sz w:val="21"/>
    </w:rPr>
  </w:style>
  <w:style w:type="paragraph" w:styleId="TCLevel1">
    <w:name w:val="T+C Level 1"/>
    <w:basedOn w:val="Body"/>
    <w:next w:val="TCLevel2"/>
    <w:qFormat/>
    <w:pPr>
      <w:keepNext w:val="true"/>
      <w:keepLines/>
      <w:numPr>
        <w:ilvl w:val="0"/>
        <w:numId w:val="22"/>
      </w:numPr>
      <w:tabs>
        <w:tab w:val="clear" w:pos="567"/>
        <w:tab w:val="left" w:pos="680" w:leader="none"/>
      </w:tabs>
      <w:spacing w:before="140" w:after="0"/>
    </w:pPr>
    <w:rPr>
      <w:b/>
    </w:rPr>
  </w:style>
  <w:style w:type="paragraph" w:styleId="TCLevel2">
    <w:name w:val="T+C Level 2"/>
    <w:basedOn w:val="Body"/>
    <w:qFormat/>
    <w:pPr>
      <w:numPr>
        <w:ilvl w:val="0"/>
        <w:numId w:val="22"/>
      </w:numPr>
      <w:tabs>
        <w:tab w:val="clear" w:pos="567"/>
        <w:tab w:val="left" w:pos="1361" w:leader="none"/>
      </w:tabs>
      <w:ind w:hanging="680" w:start="1360" w:end="0"/>
    </w:pPr>
    <w:rPr/>
  </w:style>
  <w:style w:type="paragraph" w:styleId="TCLevel3">
    <w:name w:val="T+C Level 3"/>
    <w:basedOn w:val="Body"/>
    <w:qFormat/>
    <w:pPr>
      <w:numPr>
        <w:ilvl w:val="0"/>
        <w:numId w:val="22"/>
      </w:numPr>
    </w:pPr>
    <w:rPr/>
  </w:style>
  <w:style w:type="paragraph" w:styleId="TCLevel4">
    <w:name w:val="T+C Level 4"/>
    <w:basedOn w:val="Body"/>
    <w:qFormat/>
    <w:pPr>
      <w:numPr>
        <w:ilvl w:val="0"/>
        <w:numId w:val="22"/>
      </w:numPr>
    </w:pPr>
    <w:rPr/>
  </w:style>
  <w:style w:type="paragraph" w:styleId="zFSFooter">
    <w:name w:val="zFSFooter"/>
    <w:basedOn w:val="Normal"/>
    <w:qFormat/>
    <w:pPr>
      <w:tabs>
        <w:tab w:val="clear" w:pos="567"/>
        <w:tab w:val="left" w:pos="6521" w:leader="none"/>
      </w:tabs>
      <w:spacing w:before="0" w:after="40"/>
      <w:ind w:hanging="0" w:start="-108" w:end="0"/>
    </w:pPr>
    <w:rPr>
      <w:sz w:val="16"/>
    </w:rPr>
  </w:style>
  <w:style w:type="paragraph" w:styleId="TOC1">
    <w:name w:val="toc 1"/>
    <w:basedOn w:val="Normal"/>
    <w:next w:val="Body"/>
    <w:pPr>
      <w:spacing w:before="140" w:after="140"/>
      <w:ind w:hanging="902" w:start="902" w:end="0"/>
    </w:pPr>
    <w:rPr/>
  </w:style>
  <w:style w:type="paragraph" w:styleId="TOC2">
    <w:name w:val="toc 2"/>
    <w:basedOn w:val="Normal"/>
    <w:next w:val="Body"/>
    <w:pPr>
      <w:spacing w:before="140" w:after="140"/>
      <w:ind w:hanging="680" w:start="680" w:end="0"/>
    </w:pPr>
    <w:rPr/>
  </w:style>
  <w:style w:type="paragraph" w:styleId="TOC3">
    <w:name w:val="toc 3"/>
    <w:basedOn w:val="Normal"/>
    <w:next w:val="Normal"/>
    <w:pPr>
      <w:spacing w:before="140" w:after="140"/>
      <w:ind w:hanging="680" w:start="1360" w:end="0"/>
    </w:pPr>
    <w:rPr/>
  </w:style>
  <w:style w:type="paragraph" w:styleId="TOC4">
    <w:name w:val="toc 4"/>
    <w:basedOn w:val="Normal"/>
    <w:next w:val="Normal"/>
    <w:pPr>
      <w:spacing w:before="140" w:after="140"/>
      <w:ind w:hanging="0" w:start="0" w:end="425"/>
    </w:pPr>
    <w:rPr/>
  </w:style>
  <w:style w:type="paragraph" w:styleId="zFSand">
    <w:name w:val="zFSand"/>
    <w:basedOn w:val="Normal"/>
    <w:next w:val="zFSco-names"/>
    <w:qFormat/>
    <w:pPr>
      <w:spacing w:lineRule="auto" w:line="317" w:before="120" w:after="120"/>
      <w:ind w:hanging="0" w:start="567" w:end="567"/>
      <w:jc w:val="center"/>
    </w:pPr>
    <w:rPr>
      <w:w w:val="125"/>
    </w:rPr>
  </w:style>
  <w:style w:type="paragraph" w:styleId="zFSco-names">
    <w:name w:val="zFSco-names"/>
    <w:basedOn w:val="Normal"/>
    <w:next w:val="zFSand"/>
    <w:qFormat/>
    <w:pPr>
      <w:spacing w:lineRule="auto" w:line="317"/>
      <w:ind w:hanging="0" w:start="567" w:end="567"/>
      <w:jc w:val="center"/>
    </w:pPr>
    <w:rPr>
      <w:b/>
      <w:w w:val="125"/>
      <w:sz w:val="24"/>
    </w:rPr>
  </w:style>
  <w:style w:type="paragraph" w:styleId="zFSdate">
    <w:name w:val="zFSdate"/>
    <w:basedOn w:val="Normal"/>
    <w:qFormat/>
    <w:pPr>
      <w:ind w:hanging="0" w:start="567" w:end="567"/>
      <w:jc w:val="center"/>
    </w:pPr>
    <w:rPr/>
  </w:style>
  <w:style w:type="paragraph" w:styleId="zFSnarrative">
    <w:name w:val="zFSnarrative"/>
    <w:basedOn w:val="Normal"/>
    <w:qFormat/>
    <w:pPr>
      <w:spacing w:lineRule="auto" w:line="317"/>
      <w:jc w:val="center"/>
    </w:pPr>
    <w:rPr>
      <w:w w:val="125"/>
    </w:rPr>
  </w:style>
  <w:style w:type="paragraph" w:styleId="zFStitle">
    <w:name w:val="zFStitle"/>
    <w:basedOn w:val="Normal"/>
    <w:next w:val="zFSnarrative"/>
    <w:qFormat/>
    <w:pPr>
      <w:keepNext w:val="true"/>
      <w:keepLines/>
      <w:spacing w:before="240" w:after="160"/>
      <w:ind w:hanging="0" w:start="567" w:end="567"/>
      <w:jc w:val="center"/>
    </w:pPr>
    <w:rPr>
      <w:b/>
      <w:w w:val="125"/>
      <w:sz w:val="28"/>
    </w:rPr>
  </w:style>
  <w:style w:type="paragraph" w:styleId="yFSco-names">
    <w:name w:val="yFSco-names"/>
    <w:basedOn w:val="Normal"/>
    <w:next w:val="Normal"/>
    <w:qFormat/>
    <w:pPr>
      <w:spacing w:lineRule="auto" w:line="317"/>
      <w:jc w:val="center"/>
    </w:pPr>
    <w:rPr>
      <w:caps/>
      <w:w w:val="92"/>
      <w:sz w:val="24"/>
    </w:rPr>
  </w:style>
  <w:style w:type="paragraph" w:styleId="yFSName">
    <w:name w:val="yFSName"/>
    <w:basedOn w:val="Normal"/>
    <w:next w:val="Normal"/>
    <w:qFormat/>
    <w:pPr>
      <w:keepNext w:val="true"/>
      <w:spacing w:lineRule="auto" w:line="341" w:before="0" w:after="680"/>
      <w:jc w:val="center"/>
    </w:pPr>
    <w:rPr>
      <w:w w:val="105"/>
    </w:rPr>
  </w:style>
  <w:style w:type="paragraph" w:styleId="yFSDescription">
    <w:name w:val="yFSDescription"/>
    <w:basedOn w:val="Normal"/>
    <w:qFormat/>
    <w:pPr>
      <w:spacing w:lineRule="auto" w:line="336" w:before="140" w:after="0"/>
      <w:jc w:val="center"/>
    </w:pPr>
    <w:rPr>
      <w:i/>
      <w:w w:val="105"/>
    </w:rPr>
  </w:style>
  <w:style w:type="paragraph" w:styleId="yFSdate">
    <w:name w:val="yFSdate"/>
    <w:basedOn w:val="Normal"/>
    <w:next w:val="yFSco-names"/>
    <w:qFormat/>
    <w:pPr>
      <w:spacing w:lineRule="auto" w:line="317" w:before="0" w:after="720"/>
      <w:jc w:val="center"/>
    </w:pPr>
    <w:rPr>
      <w:w w:val="105"/>
    </w:rPr>
  </w:style>
  <w:style w:type="paragraph" w:styleId="yFSDraft">
    <w:name w:val="yFSDraft"/>
    <w:basedOn w:val="Normal"/>
    <w:qFormat/>
    <w:pPr>
      <w:spacing w:lineRule="auto" w:line="336"/>
      <w:ind w:hanging="0" w:start="0" w:end="-567"/>
      <w:jc w:val="end"/>
    </w:pPr>
    <w:rPr>
      <w:w w:val="105"/>
    </w:rPr>
  </w:style>
  <w:style w:type="paragraph" w:styleId="yFSAmount">
    <w:name w:val="yFSAmount"/>
    <w:basedOn w:val="Normal"/>
    <w:next w:val="yFSName"/>
    <w:qFormat/>
    <w:pPr>
      <w:spacing w:lineRule="auto" w:line="317" w:before="0" w:after="180"/>
      <w:jc w:val="center"/>
    </w:pPr>
    <w:rPr>
      <w:i/>
      <w:kern w:val="0"/>
      <w:lang w:val="en-US"/>
    </w:rPr>
  </w:style>
  <w:style w:type="paragraph" w:styleId="alpha6">
    <w:name w:val="alpha 6"/>
    <w:basedOn w:val="Normal"/>
    <w:qFormat/>
    <w:pPr>
      <w:numPr>
        <w:ilvl w:val="0"/>
        <w:numId w:val="28"/>
      </w:numPr>
      <w:tabs>
        <w:tab w:val="clear" w:pos="567"/>
        <w:tab w:val="left" w:pos="3969" w:leader="none"/>
      </w:tabs>
      <w:spacing w:before="0" w:after="140"/>
      <w:jc w:val="both"/>
    </w:pPr>
    <w:rPr/>
  </w:style>
  <w:style w:type="paragraph" w:styleId="yFSand">
    <w:name w:val="yFSand"/>
    <w:basedOn w:val="zFSand"/>
    <w:qFormat/>
    <w:pPr/>
    <w:rPr/>
  </w:style>
  <w:style w:type="paragraph" w:styleId="Tablealpha">
    <w:name w:val="Table alpha"/>
    <w:basedOn w:val="CellBody"/>
    <w:qFormat/>
    <w:pPr>
      <w:numPr>
        <w:ilvl w:val="0"/>
        <w:numId w:val="10"/>
      </w:numPr>
    </w:pPr>
    <w:rPr/>
  </w:style>
  <w:style w:type="paragraph" w:styleId="Tableroman">
    <w:name w:val="Table roman"/>
    <w:basedOn w:val="CellBody"/>
    <w:qFormat/>
    <w:pPr>
      <w:numPr>
        <w:ilvl w:val="0"/>
        <w:numId w:val="4"/>
      </w:numPr>
      <w:tabs>
        <w:tab w:val="left" w:pos="567" w:leader="none"/>
      </w:tabs>
    </w:pPr>
    <w:rPr/>
  </w:style>
  <w:style w:type="paragraph" w:styleId="Tablebullet">
    <w:name w:val="Table bullet"/>
    <w:basedOn w:val="CellBody"/>
    <w:qFormat/>
    <w:pPr>
      <w:numPr>
        <w:ilvl w:val="0"/>
        <w:numId w:val="18"/>
      </w:numPr>
    </w:pPr>
    <w:rPr/>
  </w:style>
  <w:style w:type="paragraph" w:styleId="DocumentMap">
    <w:name w:val="Document Map"/>
    <w:basedOn w:val="Normal"/>
    <w:qFormat/>
    <w:pPr>
      <w:shd w:fill="000080" w:val="clear"/>
    </w:pPr>
    <w:rPr>
      <w:rFonts w:ascii="Tahoma" w:hAnsi="Tahoma" w:cs="Tahoma"/>
      <w:lang w:val="fr-FR"/>
    </w:rPr>
  </w:style>
  <w:style w:type="paragraph" w:styleId="TableofAuthorities">
    <w:name w:val="Table of Authorities"/>
    <w:basedOn w:val="Normal"/>
    <w:next w:val="Normal"/>
    <w:qFormat/>
    <w:pPr>
      <w:ind w:hanging="200" w:start="200" w:end="0"/>
    </w:pPr>
    <w:rPr>
      <w:lang w:val="fr-FR"/>
    </w:rPr>
  </w:style>
  <w:style w:type="paragraph" w:styleId="TOC5">
    <w:name w:val="toc 5"/>
    <w:basedOn w:val="Normal"/>
    <w:next w:val="Normal"/>
    <w:pPr>
      <w:tabs>
        <w:tab w:val="clear" w:pos="567"/>
        <w:tab w:val="left" w:pos="851" w:leader="none"/>
        <w:tab w:val="right" w:pos="9072" w:leader="dot"/>
      </w:tabs>
      <w:spacing w:before="60" w:after="60"/>
      <w:ind w:hanging="851" w:start="851" w:end="0"/>
    </w:pPr>
    <w:rPr>
      <w:b/>
      <w:lang w:val="fr-FR"/>
    </w:rPr>
  </w:style>
  <w:style w:type="paragraph" w:styleId="TOC6">
    <w:name w:val="toc 6"/>
    <w:basedOn w:val="Normal"/>
    <w:next w:val="Normal"/>
    <w:pPr>
      <w:tabs>
        <w:tab w:val="clear" w:pos="567"/>
        <w:tab w:val="left" w:pos="851" w:leader="none"/>
        <w:tab w:val="right" w:pos="9072" w:leader="dot"/>
      </w:tabs>
      <w:spacing w:before="140" w:after="140"/>
      <w:ind w:hanging="851" w:start="851" w:end="0"/>
    </w:pPr>
    <w:rPr>
      <w:b/>
      <w:lang w:val="fr-FR"/>
    </w:rPr>
  </w:style>
  <w:style w:type="paragraph" w:styleId="TOC7">
    <w:name w:val="toc 7"/>
    <w:basedOn w:val="Normal"/>
    <w:next w:val="Normal"/>
    <w:pPr/>
    <w:rPr>
      <w:lang w:val="fr-FR"/>
    </w:rPr>
  </w:style>
  <w:style w:type="paragraph" w:styleId="TOC8">
    <w:name w:val="toc 8"/>
    <w:basedOn w:val="Normal"/>
    <w:next w:val="Normal"/>
    <w:pPr/>
    <w:rPr>
      <w:lang w:val="fr-FR"/>
    </w:rPr>
  </w:style>
  <w:style w:type="paragraph" w:styleId="TOC9">
    <w:name w:val="toc 9"/>
    <w:basedOn w:val="Normal"/>
    <w:next w:val="Normal"/>
    <w:pPr/>
    <w:rPr>
      <w:lang w:val="fr-FR"/>
    </w:rPr>
  </w:style>
  <w:style w:type="paragraph" w:styleId="Createdby">
    <w:name w:val="Created by"/>
    <w:qFormat/>
    <w:pPr>
      <w:widowControl/>
      <w:bidi w:val="0"/>
    </w:pPr>
    <w:rPr>
      <w:rFonts w:ascii="Times New Roman" w:hAnsi="Times New Roman" w:eastAsia="Times New Roman" w:cs="Times New Roman"/>
      <w:color w:val="auto"/>
      <w:sz w:val="20"/>
      <w:szCs w:val="20"/>
      <w:lang w:val="en-US" w:bidi="ar-SA" w:eastAsia="zh-CN"/>
    </w:rPr>
  </w:style>
  <w:style w:type="paragraph" w:styleId="EndnoteText">
    <w:name w:val="endnote text"/>
    <w:basedOn w:val="Normal"/>
    <w:pPr/>
    <w:rPr/>
  </w:style>
  <w:style w:type="paragraph" w:styleId="Table1">
    <w:name w:val="Table 1"/>
    <w:basedOn w:val="CellBody"/>
    <w:qFormat/>
    <w:pPr>
      <w:numPr>
        <w:ilvl w:val="0"/>
        <w:numId w:val="8"/>
      </w:numPr>
    </w:pPr>
    <w:rPr/>
  </w:style>
  <w:style w:type="paragraph" w:styleId="Table2">
    <w:name w:val="Table 2"/>
    <w:basedOn w:val="CellBody"/>
    <w:qFormat/>
    <w:pPr>
      <w:numPr>
        <w:ilvl w:val="0"/>
        <w:numId w:val="8"/>
      </w:numPr>
    </w:pPr>
    <w:rPr/>
  </w:style>
  <w:style w:type="paragraph" w:styleId="Table3">
    <w:name w:val="Table 3"/>
    <w:basedOn w:val="CellBody"/>
    <w:qFormat/>
    <w:pPr>
      <w:numPr>
        <w:ilvl w:val="0"/>
        <w:numId w:val="8"/>
      </w:numPr>
    </w:pPr>
    <w:rPr/>
  </w:style>
  <w:style w:type="paragraph" w:styleId="Table4">
    <w:name w:val="Table 4"/>
    <w:basedOn w:val="CellBody"/>
    <w:qFormat/>
    <w:pPr>
      <w:numPr>
        <w:ilvl w:val="0"/>
        <w:numId w:val="8"/>
      </w:numPr>
      <w:tabs>
        <w:tab w:val="left" w:pos="567" w:leader="none"/>
      </w:tabs>
    </w:pPr>
    <w:rPr/>
  </w:style>
  <w:style w:type="paragraph" w:styleId="Table5">
    <w:name w:val="Table 5"/>
    <w:basedOn w:val="CellBody"/>
    <w:qFormat/>
    <w:pPr>
      <w:numPr>
        <w:ilvl w:val="0"/>
        <w:numId w:val="8"/>
      </w:numPr>
    </w:pPr>
    <w:rPr/>
  </w:style>
  <w:style w:type="paragraph" w:styleId="Table6">
    <w:name w:val="Table 6"/>
    <w:basedOn w:val="CellBody"/>
    <w:qFormat/>
    <w:pPr>
      <w:numPr>
        <w:ilvl w:val="0"/>
        <w:numId w:val="8"/>
      </w:numPr>
      <w:tabs>
        <w:tab w:val="left" w:pos="567"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HouseStyle2</Template>
  <TotalTime>299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2001-04-11T23:51:00Z</dcterms:created>
  <dc:creator>Any Authorised User</dc:creator>
  <dc:description/>
  <dc:language>en-CA</dc:language>
  <cp:lastModifiedBy>Any Authorised User</cp:lastModifiedBy>
  <cp:lastPrinted>2001-04-13T19:15:00Z</cp:lastPrinted>
  <dcterms:modified xsi:type="dcterms:W3CDTF">2001-04-13T09:03:00Z</dcterms:modified>
  <cp:revision>96</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 </vt:lpwstr>
  </property>
  <property fmtid="{D5CDD505-2E9C-101B-9397-08002B2CF9AE}" pid="3" name="Last Modified">
    <vt:lpwstr> </vt:lpwstr>
  </property>
  <property fmtid="{D5CDD505-2E9C-101B-9397-08002B2CF9AE}" pid="4" name="Template Version">
    <vt:lpwstr>7.11</vt:lpwstr>
  </property>
  <property fmtid="{D5CDD505-2E9C-101B-9397-08002B2CF9AE}" pid="5" name="Version">
    <vt:lpwstr> </vt:lpwstr>
  </property>
</Properties>
</file>